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31" w:rsidRPr="00727F31" w:rsidRDefault="00727F31" w:rsidP="00727F31">
      <w:pPr>
        <w:tabs>
          <w:tab w:val="center" w:pos="4749"/>
          <w:tab w:val="left" w:pos="5199"/>
        </w:tabs>
        <w:suppressAutoHyphens/>
        <w:spacing w:after="0"/>
        <w:ind w:right="-1"/>
        <w:rPr>
          <w:sz w:val="22"/>
        </w:rPr>
      </w:pPr>
      <w:r w:rsidRPr="00727F31">
        <w:rPr>
          <w:noProof/>
        </w:rPr>
        <w:tab/>
      </w:r>
      <w:r w:rsidRPr="00727F31">
        <w:rPr>
          <w:noProof/>
        </w:rPr>
        <w:drawing>
          <wp:inline distT="0" distB="0" distL="0" distR="0" wp14:anchorId="1C30F153" wp14:editId="1CA6BD12">
            <wp:extent cx="5760720" cy="706330"/>
            <wp:effectExtent l="0" t="0" r="0" b="0"/>
            <wp:docPr id="1" name="Obraz 1" descr="cid:image001.png@01DA01A0.4E956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A01A0.4E9566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F31">
        <w:rPr>
          <w:sz w:val="22"/>
        </w:rPr>
        <w:t xml:space="preserve">                                                                                                                                   </w:t>
      </w:r>
    </w:p>
    <w:p w:rsidR="00727F31" w:rsidRPr="00727F31" w:rsidRDefault="00727F31" w:rsidP="00727F31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 w:rsidRPr="00727F31">
        <w:rPr>
          <w:noProof/>
        </w:rPr>
        <w:drawing>
          <wp:inline distT="0" distB="0" distL="0" distR="0" wp14:anchorId="43B00CB1" wp14:editId="53E3C222">
            <wp:extent cx="5760720" cy="795020"/>
            <wp:effectExtent l="0" t="0" r="0" b="5080"/>
            <wp:docPr id="14" name="Obraz 14" descr="C:\Users\d.jozwiak\Downloads\FERS_RP_UE(1)\FERS - RP - UE\POLSKI\Poziomy - podstawowy\FERS_RP_UE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C:\Users\d.jozwiak\Downloads\FERS_RP_UE(1)\FERS - RP - UE\POLSKI\Poziomy - podstawowy\FERS_RP_UE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31" w:rsidRPr="00727F31" w:rsidRDefault="00727F31" w:rsidP="00727F31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 w:rsidRPr="00727F31">
        <w:rPr>
          <w:noProof/>
        </w:rPr>
        <w:drawing>
          <wp:inline distT="0" distB="0" distL="0" distR="0" wp14:anchorId="639B7867" wp14:editId="5E66F064">
            <wp:extent cx="5760720" cy="779503"/>
            <wp:effectExtent l="0" t="0" r="0" b="1905"/>
            <wp:docPr id="2" name="Obraz 2" descr="cid:image002.jpg@01D9AE7E.81C7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9AE7E.81C7FD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31" w:rsidRPr="00727F31" w:rsidRDefault="00727F31" w:rsidP="00727F31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 w:rsidRPr="00727F31">
        <w:rPr>
          <w:noProof/>
        </w:rPr>
        <w:drawing>
          <wp:inline distT="0" distB="0" distL="0" distR="0" wp14:anchorId="2E211887" wp14:editId="46B6B19C">
            <wp:extent cx="6030595" cy="512251"/>
            <wp:effectExtent l="0" t="0" r="0" b="2540"/>
            <wp:docPr id="4" name="Obraz 4" descr="C:\Users\m.mikitiuk\Desktop\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mikitiuk\Desktop\LOGOtyp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31" w:rsidRDefault="00727F31" w:rsidP="00727F31">
      <w:pPr>
        <w:suppressAutoHyphens/>
        <w:spacing w:after="0" w:line="240" w:lineRule="auto"/>
        <w:rPr>
          <w:b/>
          <w:i/>
          <w:color w:val="000000"/>
          <w:sz w:val="22"/>
          <w:lang w:eastAsia="zh-CN"/>
        </w:rPr>
      </w:pPr>
    </w:p>
    <w:p w:rsidR="00727F31" w:rsidRPr="00727F31" w:rsidRDefault="006A36B4" w:rsidP="00727F31">
      <w:pPr>
        <w:suppressAutoHyphens/>
        <w:spacing w:after="0" w:line="240" w:lineRule="auto"/>
        <w:rPr>
          <w:b/>
          <w:i/>
          <w:color w:val="000000"/>
          <w:sz w:val="22"/>
          <w:lang w:eastAsia="zh-CN"/>
        </w:rPr>
      </w:pPr>
      <w:r>
        <w:rPr>
          <w:noProof/>
        </w:rPr>
        <w:drawing>
          <wp:inline distT="0" distB="0" distL="0" distR="0" wp14:anchorId="3272636B" wp14:editId="4081CF1E">
            <wp:extent cx="5760720" cy="699135"/>
            <wp:effectExtent l="0" t="0" r="0" b="5715"/>
            <wp:docPr id="5" name="Obraz 5" descr="cid:image001.jpg@01DA4209.0C31A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id:image001.jpg@01DA4209.0C31A550"/>
                    <pic:cNvPicPr/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F31" w:rsidRPr="00727F31">
        <w:rPr>
          <w:b/>
          <w:i/>
          <w:noProof/>
          <w:color w:val="000000"/>
          <w:sz w:val="22"/>
        </w:rPr>
        <w:drawing>
          <wp:inline distT="0" distB="0" distL="0" distR="0" wp14:anchorId="69C87AD9" wp14:editId="4B1DB41E">
            <wp:extent cx="1581150" cy="1056159"/>
            <wp:effectExtent l="0" t="0" r="0" b="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F31">
        <w:rPr>
          <w:b/>
          <w:i/>
          <w:color w:val="000000"/>
          <w:sz w:val="22"/>
          <w:lang w:eastAsia="zh-CN"/>
        </w:rPr>
        <w:t xml:space="preserve">             </w:t>
      </w:r>
      <w:r w:rsidR="00727F31" w:rsidRPr="00727F31">
        <w:rPr>
          <w:b/>
          <w:i/>
          <w:color w:val="000000"/>
          <w:sz w:val="22"/>
          <w:lang w:eastAsia="zh-CN"/>
        </w:rPr>
        <w:t xml:space="preserve">        </w:t>
      </w:r>
      <w:r w:rsidR="00727F31" w:rsidRPr="00727F31">
        <w:rPr>
          <w:b/>
          <w:i/>
          <w:noProof/>
          <w:color w:val="000000"/>
          <w:sz w:val="22"/>
        </w:rPr>
        <w:drawing>
          <wp:inline distT="0" distB="0" distL="0" distR="0" wp14:anchorId="4D93C235" wp14:editId="388E46E4">
            <wp:extent cx="866775" cy="956002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F31" w:rsidRPr="00727F31">
        <w:rPr>
          <w:b/>
          <w:i/>
          <w:color w:val="000000"/>
          <w:sz w:val="22"/>
          <w:lang w:eastAsia="zh-CN"/>
        </w:rPr>
        <w:t xml:space="preserve">                        </w:t>
      </w:r>
      <w:r w:rsidR="00727F31" w:rsidRPr="00727F31">
        <w:rPr>
          <w:b/>
          <w:i/>
          <w:noProof/>
          <w:color w:val="000000"/>
          <w:sz w:val="22"/>
        </w:rPr>
        <w:drawing>
          <wp:inline distT="0" distB="0" distL="0" distR="0" wp14:anchorId="45427849" wp14:editId="220D7218">
            <wp:extent cx="1704975" cy="1115721"/>
            <wp:effectExtent l="0" t="0" r="0" b="8255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31" w:rsidRPr="00727F31" w:rsidRDefault="00727F31" w:rsidP="00727F31">
      <w:pPr>
        <w:suppressAutoHyphens/>
        <w:spacing w:after="0" w:line="240" w:lineRule="auto"/>
        <w:ind w:firstLine="708"/>
        <w:rPr>
          <w:b/>
          <w:i/>
          <w:color w:val="000000"/>
          <w:sz w:val="22"/>
          <w:lang w:eastAsia="zh-CN"/>
        </w:rPr>
      </w:pPr>
      <w:r w:rsidRPr="00727F31">
        <w:rPr>
          <w:b/>
          <w:i/>
          <w:color w:val="000000"/>
          <w:sz w:val="22"/>
          <w:lang w:eastAsia="zh-CN"/>
        </w:rPr>
        <w:t>Unia Europejska</w:t>
      </w:r>
    </w:p>
    <w:p w:rsidR="00727F31" w:rsidRPr="00727F31" w:rsidRDefault="00727F31" w:rsidP="00727F31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</w:p>
    <w:p w:rsidR="00727F31" w:rsidRPr="00727F31" w:rsidRDefault="00727F31" w:rsidP="006A36B4">
      <w:pPr>
        <w:spacing w:after="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727F31">
        <w:rPr>
          <w:rFonts w:ascii="Calibri" w:eastAsia="Calibri" w:hAnsi="Calibri"/>
          <w:b/>
          <w:sz w:val="28"/>
          <w:szCs w:val="28"/>
          <w:lang w:eastAsia="en-US"/>
        </w:rPr>
        <w:t>„Europejski Fundusz Rolny na rzecz Rozwoju Obszarów</w:t>
      </w:r>
    </w:p>
    <w:p w:rsidR="00727F31" w:rsidRPr="00727F31" w:rsidRDefault="00727F31" w:rsidP="006A36B4">
      <w:pPr>
        <w:spacing w:after="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727F31">
        <w:rPr>
          <w:rFonts w:ascii="Calibri" w:eastAsia="Calibri" w:hAnsi="Calibri"/>
          <w:b/>
          <w:sz w:val="28"/>
          <w:szCs w:val="28"/>
          <w:lang w:eastAsia="en-US"/>
        </w:rPr>
        <w:t>Wiejskich: Europa inwestująca w obszary wiejskie”</w:t>
      </w: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727F31" w:rsidRDefault="00581A47" w:rsidP="00727F31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727F31" w:rsidRDefault="00581A47" w:rsidP="00727F31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626FEC">
        <w:rPr>
          <w:bCs/>
          <w:sz w:val="22"/>
        </w:rPr>
        <w:t>.1.2024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B36055" w:rsidRPr="00727F31" w:rsidRDefault="00B36055" w:rsidP="006A36B4">
      <w:pPr>
        <w:spacing w:after="0" w:line="360" w:lineRule="auto"/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SPECYFIKACJA WARUNKÓW ZAMÓWIENIA</w:t>
      </w:r>
    </w:p>
    <w:p w:rsidR="003E6F11" w:rsidRPr="00C74546" w:rsidRDefault="00473FA3" w:rsidP="00497B0A">
      <w:pPr>
        <w:pStyle w:val="Tekstpodstawowy"/>
        <w:spacing w:line="360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581A47" w:rsidRPr="006A36B4" w:rsidRDefault="003E6F11" w:rsidP="006A36B4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497B0A" w:rsidRDefault="00626FEC" w:rsidP="00497B0A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Dostawa artykułów biurowych</w:t>
      </w:r>
    </w:p>
    <w:p w:rsidR="00497B0A" w:rsidRPr="00497B0A" w:rsidRDefault="00497B0A" w:rsidP="00497B0A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497B0A" w:rsidRDefault="00497B0A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626FEC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4B4F59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2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626FEC">
        <w:rPr>
          <w:b/>
          <w:bCs/>
          <w:sz w:val="22"/>
        </w:rPr>
        <w:t>.1.2024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96759B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2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8726D7">
        <w:rPr>
          <w:b w:val="0"/>
          <w:snapToGrid w:val="0"/>
          <w:sz w:val="22"/>
          <w:szCs w:val="22"/>
        </w:rPr>
        <w:t xml:space="preserve"> sukcesywna dostawa artykułów biurowych na potrzeby Urzędu Marszałkowskiego Województwa Warmińsko-Mazurskiego.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 w:rsidR="008726D7">
        <w:rPr>
          <w:b w:val="0"/>
          <w:snapToGrid w:val="0"/>
          <w:sz w:val="22"/>
          <w:szCs w:val="22"/>
        </w:rPr>
        <w:t>zamówienia stanowi załącznik nr</w:t>
      </w:r>
      <w:r w:rsidRPr="00812F48">
        <w:rPr>
          <w:b w:val="0"/>
          <w:snapToGrid w:val="0"/>
          <w:sz w:val="22"/>
          <w:szCs w:val="22"/>
        </w:rPr>
        <w:t xml:space="preserve"> </w:t>
      </w:r>
      <w:r w:rsidR="008726D7" w:rsidRPr="00C2500E">
        <w:rPr>
          <w:b w:val="0"/>
          <w:snapToGrid w:val="0"/>
          <w:sz w:val="22"/>
          <w:szCs w:val="22"/>
        </w:rPr>
        <w:t>2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8726D7">
        <w:rPr>
          <w:b w:val="0"/>
          <w:snapToGrid w:val="0"/>
          <w:sz w:val="22"/>
          <w:szCs w:val="22"/>
        </w:rPr>
        <w:t xml:space="preserve"> SWZ.</w:t>
      </w:r>
    </w:p>
    <w:p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8726D7">
        <w:rPr>
          <w:sz w:val="22"/>
        </w:rPr>
        <w:t>30190000-7.</w:t>
      </w:r>
    </w:p>
    <w:p w:rsidR="000758A8" w:rsidRDefault="008B0AF5" w:rsidP="008726D7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Pr="008726D7" w:rsidRDefault="00FE0280" w:rsidP="008726D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96759B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8726D7" w:rsidRDefault="00921F34" w:rsidP="008726D7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96759B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8726D7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6E175B">
      <w:pPr>
        <w:pStyle w:val="Akapitzlist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6E175B">
        <w:rPr>
          <w:sz w:val="22"/>
        </w:rPr>
        <w:t xml:space="preserve">12 </w:t>
      </w:r>
      <w:r w:rsidR="00EF32AE">
        <w:rPr>
          <w:sz w:val="22"/>
        </w:rPr>
        <w:t xml:space="preserve">miesięcy od dnia zawarcia umowy, jednak nie dłużej niż </w:t>
      </w:r>
      <w:r w:rsidR="006E175B">
        <w:rPr>
          <w:sz w:val="22"/>
        </w:rPr>
        <w:t>do wyczerpania kwoty stanowiącej całkowitą wartość brutto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96759B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3F2F74" w:rsidRPr="006E175B" w:rsidRDefault="00FE0280" w:rsidP="006E175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Pr="00497B0A" w:rsidRDefault="002A4BE8" w:rsidP="00865B16">
      <w:pPr>
        <w:pStyle w:val="Akapitzlist"/>
        <w:spacing w:after="0"/>
        <w:rPr>
          <w:b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6E175B" w:rsidRDefault="00F40F75" w:rsidP="006E175B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6E175B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7144AC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6E175B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2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  <w:r w:rsidR="007144AC" w:rsidRPr="007144AC">
        <w:rPr>
          <w:rStyle w:val="Hipercze"/>
          <w:b/>
          <w:color w:val="000000" w:themeColor="text1"/>
          <w:sz w:val="22"/>
          <w:u w:val="none"/>
        </w:rPr>
        <w:t xml:space="preserve"> .</w:t>
      </w:r>
    </w:p>
    <w:p w:rsidR="00933806" w:rsidRDefault="00933806" w:rsidP="007144AC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7144AC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 w:rsidRPr="006E175B">
        <w:rPr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7144AC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2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23" w:history="1">
        <w:r w:rsidR="00102A09" w:rsidRPr="00102A09">
          <w:rPr>
            <w:rStyle w:val="Hipercze"/>
            <w:sz w:val="22"/>
          </w:rPr>
          <w:t>https://platformazakupowa.pl</w:t>
        </w:r>
      </w:hyperlink>
      <w:r w:rsidR="007144AC" w:rsidRPr="007144AC">
        <w:rPr>
          <w:rStyle w:val="Hipercze"/>
          <w:sz w:val="22"/>
          <w:u w:val="none"/>
        </w:rPr>
        <w:t xml:space="preserve"> .</w:t>
      </w:r>
    </w:p>
    <w:p w:rsidR="00E1439E" w:rsidRPr="00E1439E" w:rsidRDefault="00E1439E" w:rsidP="007144AC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2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7144AC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</w:t>
      </w:r>
      <w:r w:rsidR="006E175B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7144AC">
        <w:rPr>
          <w:i/>
          <w:color w:val="000000" w:themeColor="text1"/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96759B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6E175B" w:rsidRDefault="00ED41E3" w:rsidP="006E175B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96759B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6E175B">
        <w:rPr>
          <w:color w:val="000000" w:themeColor="text1"/>
          <w:sz w:val="22"/>
        </w:rPr>
        <w:t>Luiza Cytarska</w:t>
      </w:r>
      <w:r w:rsidR="0064583B" w:rsidRPr="0064583B">
        <w:rPr>
          <w:color w:val="000000" w:themeColor="text1"/>
          <w:sz w:val="22"/>
        </w:rPr>
        <w:t xml:space="preserve">, tel. </w:t>
      </w:r>
      <w:r w:rsidR="006E175B">
        <w:rPr>
          <w:color w:val="000000" w:themeColor="text1"/>
          <w:sz w:val="22"/>
        </w:rPr>
        <w:t>89/ 52 19 838.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96759B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4B4F59" w:rsidRDefault="00D807B0" w:rsidP="00FB667A">
      <w:pPr>
        <w:spacing w:after="0" w:line="360" w:lineRule="auto"/>
        <w:ind w:left="708" w:firstLine="12"/>
        <w:jc w:val="both"/>
        <w:rPr>
          <w:b/>
          <w:color w:val="4472C4" w:themeColor="accent5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terminu składania ofert do dnia</w:t>
      </w:r>
      <w:r w:rsidR="004B4F59">
        <w:rPr>
          <w:color w:val="000000"/>
          <w:sz w:val="22"/>
        </w:rPr>
        <w:t xml:space="preserve"> </w:t>
      </w:r>
      <w:r w:rsidR="004B4F59" w:rsidRPr="004B4F59">
        <w:rPr>
          <w:b/>
          <w:color w:val="4472C4" w:themeColor="accent5"/>
          <w:sz w:val="22"/>
        </w:rPr>
        <w:t>15.02.2024 r.</w:t>
      </w:r>
      <w:r w:rsidR="009274E9" w:rsidRPr="004B4F59">
        <w:rPr>
          <w:b/>
          <w:color w:val="4472C4" w:themeColor="accent5"/>
          <w:sz w:val="22"/>
        </w:rPr>
        <w:t xml:space="preserve"> </w:t>
      </w:r>
      <w:bookmarkStart w:id="0" w:name="_GoBack"/>
      <w:bookmarkEnd w:id="0"/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381A99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381A99">
        <w:rPr>
          <w:color w:val="000000"/>
          <w:sz w:val="22"/>
          <w:szCs w:val="22"/>
        </w:rPr>
        <w:t>WZ;</w:t>
      </w:r>
    </w:p>
    <w:p w:rsidR="00C34A44" w:rsidRDefault="006E175B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 xml:space="preserve">ormularz </w:t>
      </w:r>
      <w:r>
        <w:rPr>
          <w:b/>
          <w:color w:val="000000"/>
          <w:sz w:val="22"/>
          <w:szCs w:val="22"/>
        </w:rPr>
        <w:t>cenowy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>WZ;</w:t>
      </w:r>
    </w:p>
    <w:p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</w:t>
      </w:r>
      <w:r w:rsidR="00381A99">
        <w:rPr>
          <w:sz w:val="22"/>
          <w:szCs w:val="22"/>
        </w:rPr>
        <w:t xml:space="preserve">– </w:t>
      </w:r>
      <w:r w:rsidR="00381A99" w:rsidRPr="00381A99">
        <w:rPr>
          <w:i/>
          <w:iCs/>
          <w:sz w:val="22"/>
          <w:szCs w:val="22"/>
        </w:rPr>
        <w:t>jeżeli</w:t>
      </w:r>
      <w:r w:rsidR="00381A99">
        <w:rPr>
          <w:i/>
          <w:iCs/>
          <w:sz w:val="22"/>
          <w:szCs w:val="22"/>
        </w:rPr>
        <w:t xml:space="preserve"> </w:t>
      </w:r>
      <w:r w:rsidR="00381A99" w:rsidRPr="00381A99">
        <w:rPr>
          <w:i/>
          <w:iCs/>
          <w:sz w:val="22"/>
          <w:szCs w:val="22"/>
        </w:rPr>
        <w:t xml:space="preserve"> zostało udzielone;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6E175B" w:rsidRPr="00C2500E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do reprezentowania ich w postępowaniu o udzielenie zamówienia albo do reprezentowania </w:t>
      </w:r>
      <w:r w:rsidR="00381A99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381A99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381A99">
        <w:rPr>
          <w:color w:val="000000"/>
          <w:sz w:val="22"/>
        </w:rPr>
        <w:t>4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EF32AE">
        <w:rPr>
          <w:color w:val="000000"/>
          <w:sz w:val="22"/>
        </w:rPr>
        <w:t>4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381A99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381A99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381A99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381A99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381A99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381A99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B5430A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B5430A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B5430A">
        <w:rPr>
          <w:color w:val="000000"/>
          <w:sz w:val="22"/>
        </w:rPr>
        <w:br/>
      </w:r>
      <w:r w:rsidRPr="00E97EBB">
        <w:rPr>
          <w:color w:val="000000"/>
          <w:sz w:val="22"/>
        </w:rPr>
        <w:t>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B5430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</w:t>
      </w:r>
      <w:r w:rsidR="00B5430A">
        <w:rPr>
          <w:color w:val="000000"/>
          <w:sz w:val="22"/>
        </w:rPr>
        <w:br/>
      </w:r>
      <w:r w:rsidRPr="00A10AEA">
        <w:rPr>
          <w:color w:val="000000"/>
          <w:sz w:val="22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B5430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B5430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4B4F59">
        <w:rPr>
          <w:b/>
          <w:color w:val="0000FF"/>
          <w:sz w:val="22"/>
          <w:szCs w:val="22"/>
        </w:rPr>
        <w:t>17.01.</w:t>
      </w:r>
      <w:r w:rsidR="007C5247">
        <w:rPr>
          <w:b/>
          <w:color w:val="0000FF"/>
          <w:sz w:val="22"/>
          <w:szCs w:val="22"/>
        </w:rPr>
        <w:t>202</w:t>
      </w:r>
      <w:r w:rsidR="00B5430A">
        <w:rPr>
          <w:b/>
          <w:color w:val="0000FF"/>
          <w:sz w:val="22"/>
          <w:szCs w:val="22"/>
        </w:rPr>
        <w:t>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  <w:r w:rsidR="004B4F59">
        <w:rPr>
          <w:b/>
          <w:color w:val="0000FF"/>
          <w:sz w:val="22"/>
          <w:szCs w:val="22"/>
        </w:rPr>
        <w:t xml:space="preserve"> 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2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2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4B4F59">
        <w:rPr>
          <w:b/>
          <w:color w:val="0000FF"/>
          <w:sz w:val="22"/>
        </w:rPr>
        <w:t>17.01.</w:t>
      </w:r>
      <w:r w:rsidR="00B5430A">
        <w:rPr>
          <w:b/>
          <w:color w:val="0000FF"/>
          <w:sz w:val="22"/>
        </w:rPr>
        <w:t>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4B4F59">
        <w:rPr>
          <w:b/>
          <w:color w:val="0000FF"/>
          <w:sz w:val="22"/>
        </w:rPr>
        <w:t>10:30 .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B5430A">
        <w:rPr>
          <w:b/>
          <w:color w:val="000000"/>
          <w:sz w:val="22"/>
        </w:rPr>
        <w:t>Termin dostawy</w:t>
      </w:r>
      <w:r w:rsidR="00B5430A" w:rsidRPr="00A703F5">
        <w:rPr>
          <w:b/>
          <w:color w:val="000000"/>
          <w:sz w:val="22"/>
        </w:rPr>
        <w:t xml:space="preserve"> </w:t>
      </w:r>
      <w:r w:rsidR="00B5430A">
        <w:rPr>
          <w:color w:val="000000"/>
          <w:sz w:val="22"/>
        </w:rPr>
        <w:t>– znaczenie kryterium – 4</w:t>
      </w:r>
      <w:r w:rsidR="00B5430A" w:rsidRPr="00A703F5">
        <w:rPr>
          <w:color w:val="000000"/>
          <w:sz w:val="22"/>
        </w:rPr>
        <w:t>0 %</w:t>
      </w:r>
    </w:p>
    <w:p w:rsidR="0090088D" w:rsidRPr="00A703F5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Pr="00A703F5" w:rsidRDefault="00992FEC" w:rsidP="00E376EB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dostawy</w:t>
      </w:r>
      <w:r w:rsidR="0090088D" w:rsidRPr="00A703F5">
        <w:rPr>
          <w:b/>
          <w:sz w:val="22"/>
          <w:lang w:val="cs-CZ" w:eastAsia="en-US"/>
        </w:rPr>
        <w:t>:</w:t>
      </w:r>
    </w:p>
    <w:p w:rsidR="0090088D" w:rsidRDefault="00992FEC" w:rsidP="00992FEC">
      <w:pPr>
        <w:ind w:left="708"/>
        <w:jc w:val="both"/>
        <w:rPr>
          <w:sz w:val="22"/>
          <w:lang w:val="cs-CZ" w:eastAsia="en-US"/>
        </w:rPr>
      </w:pPr>
      <w:r w:rsidRPr="00992FEC">
        <w:rPr>
          <w:sz w:val="22"/>
          <w:lang w:val="cs-CZ" w:eastAsia="en-US"/>
        </w:rPr>
        <w:t xml:space="preserve">W kryterium </w:t>
      </w:r>
      <w:r>
        <w:rPr>
          <w:sz w:val="22"/>
          <w:lang w:val="cs-CZ" w:eastAsia="en-US"/>
        </w:rPr>
        <w:t>„Termin</w:t>
      </w:r>
      <w:r w:rsidR="0029509A">
        <w:rPr>
          <w:sz w:val="22"/>
          <w:lang w:val="cs-CZ" w:eastAsia="en-US"/>
        </w:rPr>
        <w:t xml:space="preserve"> dostawy“ </w:t>
      </w:r>
      <w:r>
        <w:rPr>
          <w:sz w:val="22"/>
          <w:lang w:val="cs-CZ" w:eastAsia="en-US"/>
        </w:rPr>
        <w:t>oceniany będzie oferowany przez Wykonawcę termin dostawy pojedyńczego zamówienia, liczony w dniach roboczych od dnia otrzymania przez Wykonawcę</w:t>
      </w:r>
      <w:r w:rsidR="003A70F2">
        <w:rPr>
          <w:sz w:val="22"/>
          <w:lang w:val="cs-CZ" w:eastAsia="en-US"/>
        </w:rPr>
        <w:t xml:space="preserve"> informacji dotyczącej zamówienia. Ocena ofert w zakresie tego kryterium zostanie dokonana w oparciu o dane zamieszczone w </w:t>
      </w:r>
      <w:r w:rsidR="00EF1383" w:rsidRPr="00727F31">
        <w:rPr>
          <w:sz w:val="22"/>
          <w:lang w:val="cs-CZ" w:eastAsia="en-US"/>
        </w:rPr>
        <w:t>o</w:t>
      </w:r>
      <w:r w:rsidR="00864DC9" w:rsidRPr="00727F31">
        <w:rPr>
          <w:sz w:val="22"/>
          <w:lang w:val="cs-CZ" w:eastAsia="en-US"/>
        </w:rPr>
        <w:t>fercie</w:t>
      </w:r>
      <w:r w:rsidR="003A70F2" w:rsidRPr="00727F31">
        <w:rPr>
          <w:sz w:val="22"/>
          <w:lang w:val="cs-CZ" w:eastAsia="en-US"/>
        </w:rPr>
        <w:t>.</w:t>
      </w:r>
    </w:p>
    <w:p w:rsidR="003D1B42" w:rsidRDefault="003D1B42" w:rsidP="003D1B42">
      <w:pPr>
        <w:spacing w:after="0" w:line="360" w:lineRule="auto"/>
        <w:ind w:left="709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 xml:space="preserve">Punkty </w:t>
      </w:r>
      <w:r w:rsidR="00EF32AE">
        <w:rPr>
          <w:sz w:val="22"/>
          <w:lang w:val="cs-CZ" w:eastAsia="en-US"/>
        </w:rPr>
        <w:t>za termi</w:t>
      </w:r>
      <w:r w:rsidR="00C3509C">
        <w:rPr>
          <w:sz w:val="22"/>
          <w:lang w:val="cs-CZ" w:eastAsia="en-US"/>
        </w:rPr>
        <w:t>n</w:t>
      </w:r>
      <w:r w:rsidR="00EF32AE">
        <w:rPr>
          <w:sz w:val="22"/>
          <w:lang w:val="cs-CZ" w:eastAsia="en-US"/>
        </w:rPr>
        <w:t xml:space="preserve"> dostawy</w:t>
      </w:r>
      <w:r>
        <w:rPr>
          <w:sz w:val="22"/>
          <w:lang w:val="cs-CZ" w:eastAsia="en-US"/>
        </w:rPr>
        <w:t xml:space="preserve"> przyznane zostaną w następujący sposób:</w:t>
      </w:r>
    </w:p>
    <w:p w:rsidR="003D1B42" w:rsidRPr="003D1B42" w:rsidRDefault="003D1B42" w:rsidP="003D1B42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2"/>
          <w:lang w:val="cs-CZ" w:eastAsia="en-US"/>
        </w:rPr>
      </w:pPr>
      <w:r w:rsidRPr="003D1B42">
        <w:rPr>
          <w:sz w:val="22"/>
          <w:lang w:val="cs-CZ" w:eastAsia="en-US"/>
        </w:rPr>
        <w:t>do 2 dni roboczych: 10 pkt</w:t>
      </w:r>
    </w:p>
    <w:p w:rsidR="003D1B42" w:rsidRPr="003D1B42" w:rsidRDefault="003D1B42" w:rsidP="003D1B42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2"/>
          <w:lang w:val="cs-CZ" w:eastAsia="en-US"/>
        </w:rPr>
      </w:pPr>
      <w:r w:rsidRPr="003D1B42">
        <w:rPr>
          <w:sz w:val="22"/>
          <w:lang w:val="cs-CZ" w:eastAsia="en-US"/>
        </w:rPr>
        <w:t>3 – 4 dni robocze: 6 pkt</w:t>
      </w:r>
    </w:p>
    <w:p w:rsidR="003D1B42" w:rsidRPr="003D1B42" w:rsidRDefault="003D1B42" w:rsidP="003D1B42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2"/>
          <w:lang w:val="cs-CZ" w:eastAsia="en-US"/>
        </w:rPr>
      </w:pPr>
      <w:r w:rsidRPr="003D1B42">
        <w:rPr>
          <w:sz w:val="22"/>
          <w:lang w:val="cs-CZ" w:eastAsia="en-US"/>
        </w:rPr>
        <w:t>5 – 6 dni roboczych: 3 pkt</w:t>
      </w:r>
    </w:p>
    <w:p w:rsidR="003D1B42" w:rsidRDefault="003D1B42" w:rsidP="003D1B42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2"/>
          <w:lang w:val="cs-CZ" w:eastAsia="en-US"/>
        </w:rPr>
      </w:pPr>
      <w:r w:rsidRPr="003D1B42">
        <w:rPr>
          <w:sz w:val="22"/>
          <w:lang w:val="cs-CZ" w:eastAsia="en-US"/>
        </w:rPr>
        <w:t>7 dni roboczych: 0 pkt</w:t>
      </w:r>
    </w:p>
    <w:p w:rsidR="003D1B42" w:rsidRDefault="003D1B42" w:rsidP="003D1B42">
      <w:pPr>
        <w:spacing w:after="0" w:line="360" w:lineRule="auto"/>
        <w:ind w:left="1069"/>
        <w:jc w:val="both"/>
        <w:rPr>
          <w:sz w:val="22"/>
          <w:lang w:val="cs-CZ" w:eastAsia="en-US"/>
        </w:rPr>
      </w:pPr>
      <w:r w:rsidRPr="003D1B42">
        <w:rPr>
          <w:b/>
          <w:sz w:val="22"/>
          <w:lang w:val="cs-CZ" w:eastAsia="en-US"/>
        </w:rPr>
        <w:t>Najdłuższy</w:t>
      </w:r>
      <w:r>
        <w:rPr>
          <w:sz w:val="22"/>
          <w:lang w:val="cs-CZ" w:eastAsia="en-US"/>
        </w:rPr>
        <w:t xml:space="preserve"> możliwy termin dostawy przedmiotu zamówienia</w:t>
      </w:r>
      <w:r w:rsidR="00864DC9">
        <w:rPr>
          <w:sz w:val="22"/>
          <w:lang w:val="cs-CZ" w:eastAsia="en-US"/>
        </w:rPr>
        <w:t xml:space="preserve">, </w:t>
      </w:r>
      <w:r>
        <w:rPr>
          <w:sz w:val="22"/>
          <w:lang w:val="cs-CZ" w:eastAsia="en-US"/>
        </w:rPr>
        <w:t>jaki może zaoferować Wykonawca</w:t>
      </w:r>
      <w:r w:rsidR="00864DC9">
        <w:rPr>
          <w:sz w:val="22"/>
          <w:lang w:val="cs-CZ" w:eastAsia="en-US"/>
        </w:rPr>
        <w:t>,</w:t>
      </w:r>
      <w:r>
        <w:rPr>
          <w:sz w:val="22"/>
          <w:lang w:val="cs-CZ" w:eastAsia="en-US"/>
        </w:rPr>
        <w:t xml:space="preserve"> wynosi 7 dni roboczych. Wykonawca, który zaoferuje maksymalny 7-dniowy termin realizacji każdej dostawy otrzyma 0 pkt bez podstawiania do wzoru.</w:t>
      </w:r>
    </w:p>
    <w:p w:rsidR="003D1B42" w:rsidRDefault="003D1B42" w:rsidP="003D1B42">
      <w:pPr>
        <w:spacing w:after="0" w:line="360" w:lineRule="auto"/>
        <w:ind w:left="1069"/>
        <w:jc w:val="both"/>
        <w:rPr>
          <w:sz w:val="22"/>
          <w:lang w:val="cs-CZ" w:eastAsia="en-US"/>
        </w:rPr>
      </w:pPr>
    </w:p>
    <w:p w:rsidR="003D1B42" w:rsidRPr="003D1B42" w:rsidRDefault="003D1B42" w:rsidP="003D1B42">
      <w:pPr>
        <w:spacing w:after="0" w:line="360" w:lineRule="auto"/>
        <w:ind w:left="1069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 xml:space="preserve">Jeżeli Wykonawca w </w:t>
      </w:r>
      <w:r w:rsidR="00EF1383" w:rsidRPr="00727F31">
        <w:rPr>
          <w:sz w:val="22"/>
          <w:lang w:val="cs-CZ" w:eastAsia="en-US"/>
        </w:rPr>
        <w:t>ofercie</w:t>
      </w:r>
      <w:r w:rsidR="00EF1383">
        <w:rPr>
          <w:sz w:val="22"/>
          <w:lang w:val="cs-CZ" w:eastAsia="en-US"/>
        </w:rPr>
        <w:t xml:space="preserve"> </w:t>
      </w:r>
      <w:r>
        <w:rPr>
          <w:sz w:val="22"/>
          <w:lang w:val="cs-CZ" w:eastAsia="en-US"/>
        </w:rPr>
        <w:t xml:space="preserve">nie wskaże terminu dostawy, przyjmuje się, że Wykonawca dostarczy przedmiot zamówienia </w:t>
      </w:r>
      <w:r w:rsidR="00C54E65">
        <w:rPr>
          <w:sz w:val="22"/>
          <w:lang w:val="cs-CZ" w:eastAsia="en-US"/>
        </w:rPr>
        <w:t xml:space="preserve">w terminie 7 dni roboczych od dnia zgłoszenia, a jego oferta w powyższym kryterium otrzyma </w:t>
      </w:r>
      <w:r w:rsidR="00864DC9">
        <w:rPr>
          <w:sz w:val="22"/>
          <w:lang w:val="cs-CZ" w:eastAsia="en-US"/>
        </w:rPr>
        <w:t>0 punktów bez podstawiania do wzoru.</w:t>
      </w:r>
    </w:p>
    <w:p w:rsidR="0090088D" w:rsidRPr="00A703F5" w:rsidRDefault="007144AC" w:rsidP="0090088D">
      <w:pPr>
        <w:ind w:left="992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</w:t>
      </w:r>
      <w:r w:rsidR="0090088D"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:rsidR="0090088D" w:rsidRPr="00A703F5" w:rsidRDefault="0090088D" w:rsidP="00BE07A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Pr="00864DC9">
        <w:rPr>
          <w:sz w:val="22"/>
        </w:rPr>
        <w:t>.</w:t>
      </w:r>
    </w:p>
    <w:p w:rsidR="00390081" w:rsidRDefault="00DB32FB" w:rsidP="00864DC9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864DC9" w:rsidRPr="00864DC9" w:rsidRDefault="00864DC9" w:rsidP="00864DC9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r w:rsidRPr="00EF1383">
        <w:rPr>
          <w:color w:val="000000"/>
          <w:sz w:val="22"/>
        </w:rPr>
        <w:t>P</w:t>
      </w:r>
      <w:r w:rsidRPr="0015264D">
        <w:rPr>
          <w:color w:val="000000"/>
          <w:sz w:val="22"/>
        </w:rPr>
        <w:t xml:space="preserve">zp, w terminie nie krótszym niż 5 dni od dnia przesłania zawiadomienia </w:t>
      </w:r>
      <w:r w:rsidR="00EF1383">
        <w:rPr>
          <w:color w:val="000000"/>
          <w:sz w:val="22"/>
        </w:rPr>
        <w:br/>
      </w:r>
      <w:r w:rsidRPr="0015264D">
        <w:rPr>
          <w:color w:val="000000"/>
          <w:sz w:val="22"/>
        </w:rPr>
        <w:t>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29509A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29509A">
        <w:rPr>
          <w:sz w:val="22"/>
        </w:rPr>
        <w:t xml:space="preserve">załącznik nr </w:t>
      </w:r>
      <w:r w:rsidR="0029509A" w:rsidRPr="0029509A">
        <w:rPr>
          <w:sz w:val="22"/>
        </w:rPr>
        <w:t>5</w:t>
      </w:r>
      <w:r w:rsidR="00F33206" w:rsidRPr="0029509A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5864CA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5864CA">
      <w:pPr>
        <w:pStyle w:val="Akapitzlist"/>
        <w:numPr>
          <w:ilvl w:val="0"/>
          <w:numId w:val="42"/>
        </w:numPr>
        <w:spacing w:after="0" w:line="360" w:lineRule="auto"/>
        <w:ind w:left="1077" w:hanging="357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5864CA">
      <w:pPr>
        <w:pStyle w:val="Akapitzlist"/>
        <w:numPr>
          <w:ilvl w:val="0"/>
          <w:numId w:val="42"/>
        </w:numPr>
        <w:spacing w:after="0" w:line="360" w:lineRule="auto"/>
        <w:ind w:left="1077" w:hanging="357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5864CA" w:rsidRPr="003A6C50" w:rsidRDefault="005864CA" w:rsidP="005864CA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Default="00DB0C1E" w:rsidP="005864CA">
      <w:pPr>
        <w:pStyle w:val="Akapitzlist"/>
        <w:numPr>
          <w:ilvl w:val="0"/>
          <w:numId w:val="1"/>
        </w:numPr>
        <w:spacing w:before="26" w:after="0" w:line="360" w:lineRule="auto"/>
        <w:jc w:val="both"/>
        <w:rPr>
          <w:b/>
          <w:sz w:val="22"/>
        </w:rPr>
      </w:pPr>
      <w:r w:rsidRPr="005864CA">
        <w:rPr>
          <w:b/>
          <w:sz w:val="22"/>
        </w:rPr>
        <w:t xml:space="preserve">INFORMACJE DODATKOWE </w:t>
      </w:r>
    </w:p>
    <w:p w:rsidR="005864CA" w:rsidRPr="005864CA" w:rsidRDefault="005864CA" w:rsidP="005864CA">
      <w:pPr>
        <w:pStyle w:val="Akapitzlist"/>
        <w:spacing w:before="26" w:after="0" w:line="360" w:lineRule="auto"/>
        <w:jc w:val="both"/>
        <w:rPr>
          <w:b/>
          <w:sz w:val="22"/>
        </w:rPr>
      </w:pPr>
    </w:p>
    <w:p w:rsidR="00295475" w:rsidRPr="005864CA" w:rsidRDefault="00295475" w:rsidP="005864CA">
      <w:pPr>
        <w:spacing w:after="0" w:line="360" w:lineRule="auto"/>
        <w:ind w:left="708"/>
        <w:jc w:val="both"/>
        <w:rPr>
          <w:kern w:val="2"/>
          <w:sz w:val="22"/>
          <w:lang w:bidi="hi-IN"/>
        </w:rPr>
      </w:pPr>
      <w:r w:rsidRPr="005864CA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5864CA" w:rsidRDefault="00295475" w:rsidP="005864CA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 xml:space="preserve">administratorem danych osobowych jest Województwo Warmińsko – Mazurskie </w:t>
      </w:r>
      <w:r w:rsidRPr="005864CA">
        <w:rPr>
          <w:bCs/>
          <w:sz w:val="22"/>
        </w:rPr>
        <w:t xml:space="preserve">ul. </w:t>
      </w:r>
      <w:r w:rsidR="005864CA">
        <w:rPr>
          <w:bCs/>
          <w:sz w:val="22"/>
        </w:rPr>
        <w:br/>
      </w:r>
      <w:r w:rsidRPr="005864CA">
        <w:rPr>
          <w:bCs/>
          <w:sz w:val="22"/>
        </w:rPr>
        <w:t>E. Plater 1, 10-562 Olsztyn (dalej: Administrator)</w:t>
      </w:r>
      <w:r w:rsidRPr="005864CA">
        <w:rPr>
          <w:sz w:val="22"/>
        </w:rPr>
        <w:t>.</w:t>
      </w:r>
    </w:p>
    <w:p w:rsidR="00295475" w:rsidRPr="005864CA" w:rsidRDefault="00295475" w:rsidP="005864CA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>administrator powołał Inspektora Ochrony Danych, z którym kontakt jest możliwy pod adresem email: iod@warmia.mazury.pl.</w:t>
      </w:r>
    </w:p>
    <w:p w:rsidR="00295475" w:rsidRPr="005864CA" w:rsidRDefault="00295475" w:rsidP="00316717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>dane osobowe przetwarzane będą na podstawie art. 6 ust. 1</w:t>
      </w:r>
      <w:r w:rsidR="005864CA">
        <w:rPr>
          <w:sz w:val="22"/>
        </w:rPr>
        <w:t xml:space="preserve"> lit. c RODO  w celu związanym </w:t>
      </w:r>
      <w:r w:rsidRPr="005864CA">
        <w:rPr>
          <w:sz w:val="22"/>
        </w:rPr>
        <w:t xml:space="preserve">z postępowaniem o udzielenie  zamówienia publicznego </w:t>
      </w:r>
      <w:r w:rsidR="005864CA" w:rsidRPr="005864CA">
        <w:rPr>
          <w:sz w:val="22"/>
        </w:rPr>
        <w:t>na dostawę akcesoriów biur</w:t>
      </w:r>
      <w:r w:rsidR="00316717">
        <w:rPr>
          <w:sz w:val="22"/>
        </w:rPr>
        <w:t xml:space="preserve">owych, ZP.272.1.1.2024 </w:t>
      </w:r>
      <w:r w:rsidRPr="005864CA">
        <w:rPr>
          <w:sz w:val="22"/>
        </w:rPr>
        <w:t xml:space="preserve">prowadzonym </w:t>
      </w:r>
      <w:r w:rsidRPr="005864CA">
        <w:rPr>
          <w:b/>
          <w:sz w:val="22"/>
        </w:rPr>
        <w:t>w trybie podstawowym</w:t>
      </w:r>
      <w:r w:rsidRPr="005864CA">
        <w:rPr>
          <w:sz w:val="22"/>
        </w:rPr>
        <w:t xml:space="preserve">. </w:t>
      </w:r>
    </w:p>
    <w:p w:rsidR="00295475" w:rsidRPr="005864CA" w:rsidRDefault="00295475" w:rsidP="00316717">
      <w:p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>Dane osobowe przetwarzane są na podstawie ustawy z dnia 11 września 2019 r. Prawo zamówień pu</w:t>
      </w:r>
      <w:r w:rsidR="00AC25FC" w:rsidRPr="005864CA">
        <w:rPr>
          <w:sz w:val="22"/>
        </w:rPr>
        <w:t>blicznych (Dz. U. z 202</w:t>
      </w:r>
      <w:r w:rsidR="003A70F2" w:rsidRPr="005864CA">
        <w:rPr>
          <w:sz w:val="22"/>
        </w:rPr>
        <w:t>3</w:t>
      </w:r>
      <w:r w:rsidRPr="005864CA">
        <w:rPr>
          <w:sz w:val="22"/>
        </w:rPr>
        <w:t xml:space="preserve"> r., poz. </w:t>
      </w:r>
      <w:r w:rsidR="003A70F2" w:rsidRPr="005864CA">
        <w:rPr>
          <w:sz w:val="22"/>
        </w:rPr>
        <w:t>1605</w:t>
      </w:r>
      <w:r w:rsidRPr="005864CA">
        <w:rPr>
          <w:sz w:val="22"/>
        </w:rPr>
        <w:t xml:space="preserve"> ze zm.), zwanej dalej ustawą Pzp. </w:t>
      </w:r>
    </w:p>
    <w:p w:rsidR="00295475" w:rsidRPr="005864CA" w:rsidRDefault="00295475" w:rsidP="005864CA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 xml:space="preserve">dane osobowe będą przekazywane następującym odbiorcom: </w:t>
      </w:r>
    </w:p>
    <w:p w:rsidR="00295475" w:rsidRPr="005864CA" w:rsidRDefault="00295475" w:rsidP="005864CA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2"/>
        </w:rPr>
      </w:pPr>
      <w:r w:rsidRPr="005864CA">
        <w:rPr>
          <w:sz w:val="22"/>
        </w:rPr>
        <w:t>umieszczone na stornie internetowej Zamawiającego,</w:t>
      </w:r>
    </w:p>
    <w:p w:rsidR="00295475" w:rsidRPr="005864CA" w:rsidRDefault="00295475" w:rsidP="005864CA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2"/>
        </w:rPr>
      </w:pPr>
      <w:r w:rsidRPr="005864CA">
        <w:rPr>
          <w:sz w:val="22"/>
        </w:rPr>
        <w:t>Prezesowi Urzędu Zamówień Publicznych,</w:t>
      </w:r>
    </w:p>
    <w:p w:rsidR="00295475" w:rsidRPr="005864CA" w:rsidRDefault="00295475" w:rsidP="005864CA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2"/>
        </w:rPr>
      </w:pPr>
      <w:r w:rsidRPr="005864CA">
        <w:rPr>
          <w:sz w:val="22"/>
        </w:rPr>
        <w:t>wnioskodawcom zgodnie z ustawą Pzp,</w:t>
      </w:r>
    </w:p>
    <w:p w:rsidR="00295475" w:rsidRPr="005864CA" w:rsidRDefault="00295475" w:rsidP="005864CA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2"/>
        </w:rPr>
      </w:pPr>
      <w:r w:rsidRPr="005864CA">
        <w:rPr>
          <w:sz w:val="22"/>
        </w:rPr>
        <w:t>wnioskodawcom zgodnie z ustawą z dnia 6 września 2001 r. o dostępie do informacji publicznej ( Dz.U. z 2020 r. poz. 2176),</w:t>
      </w:r>
      <w:r w:rsidRPr="005864CA">
        <w:rPr>
          <w:color w:val="FF0000"/>
          <w:sz w:val="22"/>
        </w:rPr>
        <w:t xml:space="preserve">   </w:t>
      </w:r>
    </w:p>
    <w:p w:rsidR="00295475" w:rsidRPr="005864CA" w:rsidRDefault="00295475" w:rsidP="005864CA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2"/>
        </w:rPr>
      </w:pPr>
      <w:r w:rsidRPr="005864CA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5864CA">
        <w:rPr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5864CA" w:rsidRDefault="00295475" w:rsidP="005864CA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2"/>
        </w:rPr>
      </w:pPr>
      <w:r w:rsidRPr="005864CA">
        <w:rPr>
          <w:color w:val="000000"/>
          <w:sz w:val="22"/>
        </w:rPr>
        <w:t>administratorowi internetowej platformy zakupowej Open Nexus Sp. z o.o. na podstawie art. 28 ust. 3 RODO.</w:t>
      </w:r>
    </w:p>
    <w:p w:rsidR="00295475" w:rsidRPr="005864CA" w:rsidRDefault="00295475" w:rsidP="005864CA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>dane osobowe będą przechowywane przez 4 lata od dnia zakończenia postępowania, j</w:t>
      </w:r>
      <w:r w:rsidRPr="005864CA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5864CA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5864CA" w:rsidRDefault="00295475" w:rsidP="005864CA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 xml:space="preserve">w każdym czasie przysługuje Pani/Panu prawo dostępu do swoich danych osobowych*, </w:t>
      </w:r>
      <w:r w:rsidRPr="005864CA">
        <w:rPr>
          <w:sz w:val="22"/>
        </w:rPr>
        <w:br/>
        <w:t xml:space="preserve">jak również prawo żądania ich sprostowania** lub ograniczenia przetwarzania, </w:t>
      </w:r>
      <w:r w:rsidRPr="005864CA">
        <w:rPr>
          <w:sz w:val="22"/>
        </w:rPr>
        <w:br/>
        <w:t xml:space="preserve">z zastrzeżeniem przypadków, o których mowa w art. 18 ust. 2 RODO***. </w:t>
      </w:r>
    </w:p>
    <w:p w:rsidR="00295475" w:rsidRPr="005864CA" w:rsidRDefault="00295475" w:rsidP="005864CA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5864CA" w:rsidRDefault="00295475" w:rsidP="005864CA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>Obowiązek podania przez Panią/Pana danych osobowych bezpośrednio Pani/Pana dotyczących jest wymogiem ustawowym określonym w przepisach us</w:t>
      </w:r>
      <w:r w:rsidR="005864CA">
        <w:rPr>
          <w:sz w:val="22"/>
        </w:rPr>
        <w:t xml:space="preserve">tawy Pzp, związanym z udziałem </w:t>
      </w:r>
      <w:r w:rsidRPr="005864CA">
        <w:rPr>
          <w:sz w:val="22"/>
        </w:rPr>
        <w:t xml:space="preserve">w postępowaniu o udzielenie zamówienia publicznego; konsekwencje niepodania określonych danych wynikają z ustawy Pzp.  </w:t>
      </w:r>
    </w:p>
    <w:p w:rsidR="00295475" w:rsidRPr="005864CA" w:rsidRDefault="00295475" w:rsidP="005864CA">
      <w:pPr>
        <w:spacing w:after="0" w:line="360" w:lineRule="auto"/>
        <w:ind w:left="1094"/>
        <w:jc w:val="both"/>
        <w:rPr>
          <w:sz w:val="22"/>
        </w:rPr>
      </w:pPr>
      <w:r w:rsidRPr="005864CA">
        <w:rPr>
          <w:sz w:val="22"/>
        </w:rPr>
        <w:t>W odniesieniu do Pani/Pana danych osobowych decyzje nie będą podejmowane w sposób zautomatyzowany, stosowanie do art. 22 RODO.</w:t>
      </w:r>
    </w:p>
    <w:p w:rsidR="00295475" w:rsidRPr="005864CA" w:rsidRDefault="00295475" w:rsidP="005864CA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2"/>
        </w:rPr>
      </w:pPr>
      <w:r w:rsidRPr="005864CA">
        <w:rPr>
          <w:sz w:val="22"/>
        </w:rPr>
        <w:t>Dane osobowe nie są przekazywane do państwa trzeciego lub organizacji międzynarodowej.</w:t>
      </w:r>
    </w:p>
    <w:p w:rsidR="00295475" w:rsidRPr="005864CA" w:rsidRDefault="00295475" w:rsidP="005864CA">
      <w:pPr>
        <w:pStyle w:val="Akapitzlist"/>
        <w:spacing w:after="0" w:line="360" w:lineRule="auto"/>
        <w:ind w:left="811" w:firstLine="282"/>
        <w:jc w:val="both"/>
        <w:rPr>
          <w:i/>
          <w:sz w:val="22"/>
        </w:rPr>
      </w:pPr>
      <w:r w:rsidRPr="005864CA">
        <w:rPr>
          <w:sz w:val="22"/>
        </w:rPr>
        <w:t>Nie przysługuje Pani/Panu:</w:t>
      </w:r>
    </w:p>
    <w:p w:rsidR="00295475" w:rsidRPr="005864CA" w:rsidRDefault="00295475" w:rsidP="005864CA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5864CA">
        <w:rPr>
          <w:sz w:val="22"/>
        </w:rPr>
        <w:t>w związku z art. 17 ust. 3 lit. b, d lub e RODO prawo do usunięcia danych osobowych;</w:t>
      </w:r>
    </w:p>
    <w:p w:rsidR="00295475" w:rsidRPr="005864CA" w:rsidRDefault="00295475" w:rsidP="005864CA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2"/>
        </w:rPr>
      </w:pPr>
      <w:r w:rsidRPr="005864CA">
        <w:rPr>
          <w:sz w:val="22"/>
        </w:rPr>
        <w:t>prawo do przenoszenia danych osobowych, o którym mowa w art. 20 RODO;</w:t>
      </w:r>
    </w:p>
    <w:p w:rsidR="00295475" w:rsidRPr="005864CA" w:rsidRDefault="00295475" w:rsidP="005864CA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5864C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5864CA" w:rsidRDefault="00295475" w:rsidP="007508C4">
      <w:pPr>
        <w:pStyle w:val="Akapitzlist"/>
        <w:spacing w:after="0" w:line="360" w:lineRule="auto"/>
        <w:ind w:left="284" w:hanging="142"/>
        <w:jc w:val="both"/>
        <w:rPr>
          <w:b/>
          <w:i/>
          <w:sz w:val="22"/>
        </w:rPr>
      </w:pPr>
      <w:r w:rsidRPr="005864CA">
        <w:rPr>
          <w:b/>
          <w:sz w:val="22"/>
        </w:rPr>
        <w:t xml:space="preserve">* </w:t>
      </w:r>
      <w:r w:rsidRPr="005864CA">
        <w:rPr>
          <w:sz w:val="22"/>
        </w:rPr>
        <w:t xml:space="preserve">Osoba, której dane dotyczą może zwrócić się do Zamawiającego z żądaniem dostępu do danych, </w:t>
      </w:r>
      <w:r w:rsidR="007508C4">
        <w:rPr>
          <w:sz w:val="22"/>
        </w:rPr>
        <w:br/>
      </w:r>
      <w:r w:rsidRPr="005864CA">
        <w:rPr>
          <w:sz w:val="22"/>
        </w:rPr>
        <w:t>w tym:</w:t>
      </w:r>
    </w:p>
    <w:p w:rsidR="00295475" w:rsidRPr="005864CA" w:rsidRDefault="00295475" w:rsidP="005864CA">
      <w:pPr>
        <w:pStyle w:val="Akapitzlist"/>
        <w:numPr>
          <w:ilvl w:val="0"/>
          <w:numId w:val="31"/>
        </w:numPr>
        <w:spacing w:after="0" w:line="360" w:lineRule="auto"/>
        <w:ind w:left="851" w:hanging="350"/>
        <w:jc w:val="both"/>
        <w:rPr>
          <w:sz w:val="22"/>
        </w:rPr>
      </w:pPr>
      <w:r w:rsidRPr="005864CA">
        <w:rPr>
          <w:sz w:val="22"/>
        </w:rPr>
        <w:t xml:space="preserve">potwierdzenia, czy przetwarzane są dane osobowe jej dotyczące,  </w:t>
      </w:r>
    </w:p>
    <w:p w:rsidR="00295475" w:rsidRPr="005864CA" w:rsidRDefault="00295475" w:rsidP="005864CA">
      <w:pPr>
        <w:pStyle w:val="Akapitzlist"/>
        <w:numPr>
          <w:ilvl w:val="0"/>
          <w:numId w:val="31"/>
        </w:numPr>
        <w:spacing w:after="0" w:line="360" w:lineRule="auto"/>
        <w:ind w:left="851" w:hanging="350"/>
        <w:jc w:val="both"/>
        <w:rPr>
          <w:sz w:val="22"/>
        </w:rPr>
      </w:pPr>
      <w:r w:rsidRPr="005864CA">
        <w:rPr>
          <w:sz w:val="22"/>
        </w:rPr>
        <w:t xml:space="preserve">kopii danych osobowych podlegających przetwarzaniu. </w:t>
      </w:r>
    </w:p>
    <w:p w:rsidR="00295475" w:rsidRPr="005864CA" w:rsidRDefault="00295475" w:rsidP="00295475">
      <w:pPr>
        <w:shd w:val="clear" w:color="auto" w:fill="FFFFFF"/>
        <w:spacing w:after="0"/>
        <w:rPr>
          <w:sz w:val="22"/>
        </w:rPr>
      </w:pPr>
      <w:r w:rsidRPr="005864CA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316717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</w:t>
      </w: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864DC9" w:rsidRDefault="00864DC9" w:rsidP="008F066A">
      <w:pPr>
        <w:pStyle w:val="Tekstpodstawowy"/>
        <w:spacing w:line="360" w:lineRule="auto"/>
        <w:rPr>
          <w:sz w:val="22"/>
          <w:szCs w:val="22"/>
        </w:rPr>
      </w:pPr>
    </w:p>
    <w:p w:rsidR="00727F31" w:rsidRDefault="00727F31" w:rsidP="008F066A">
      <w:pPr>
        <w:pStyle w:val="Tekstpodstawowy"/>
        <w:spacing w:line="360" w:lineRule="auto"/>
        <w:rPr>
          <w:sz w:val="22"/>
          <w:szCs w:val="22"/>
        </w:rPr>
      </w:pPr>
    </w:p>
    <w:p w:rsidR="00727F31" w:rsidRDefault="00727F31" w:rsidP="008F066A">
      <w:pPr>
        <w:pStyle w:val="Tekstpodstawowy"/>
        <w:spacing w:line="360" w:lineRule="auto"/>
        <w:rPr>
          <w:sz w:val="22"/>
          <w:szCs w:val="22"/>
        </w:rPr>
      </w:pPr>
    </w:p>
    <w:p w:rsidR="00727F31" w:rsidRDefault="00727F31" w:rsidP="008F066A">
      <w:pPr>
        <w:pStyle w:val="Tekstpodstawowy"/>
        <w:spacing w:line="360" w:lineRule="auto"/>
        <w:rPr>
          <w:sz w:val="22"/>
          <w:szCs w:val="22"/>
        </w:rPr>
      </w:pPr>
    </w:p>
    <w:p w:rsidR="00727F31" w:rsidRDefault="00727F31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316717" w:rsidRDefault="00316717" w:rsidP="008F066A">
      <w:pPr>
        <w:pStyle w:val="Tekstpodstawowy"/>
        <w:spacing w:line="360" w:lineRule="auto"/>
        <w:rPr>
          <w:sz w:val="22"/>
          <w:szCs w:val="22"/>
        </w:rPr>
      </w:pPr>
    </w:p>
    <w:p w:rsidR="007021FD" w:rsidRPr="008F066A" w:rsidRDefault="007021FD" w:rsidP="00316717">
      <w:pPr>
        <w:pStyle w:val="Tekstpodstawowy"/>
        <w:spacing w:line="360" w:lineRule="auto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    Załącznik nr 1</w:t>
      </w:r>
    </w:p>
    <w:p w:rsidR="007021FD" w:rsidRPr="008F066A" w:rsidRDefault="00316717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ZP.272.1.1.2024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55001B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E423A6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color w:val="FF0000"/>
          <w:sz w:val="22"/>
          <w:szCs w:val="22"/>
        </w:rPr>
        <w:t xml:space="preserve"> </w:t>
      </w:r>
      <w:r w:rsidR="0055001B" w:rsidRPr="00E423A6">
        <w:rPr>
          <w:sz w:val="22"/>
          <w:szCs w:val="22"/>
        </w:rPr>
        <w:t>dostawa artykułów biurowych</w:t>
      </w:r>
      <w:r w:rsidRPr="00E423A6">
        <w:rPr>
          <w:sz w:val="22"/>
          <w:szCs w:val="22"/>
        </w:rPr>
        <w:t xml:space="preserve"> </w:t>
      </w:r>
      <w:r w:rsidRPr="00E423A6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E423A6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E423A6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E423A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E423A6" w:rsidRPr="00E423A6" w:rsidRDefault="00E423A6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iż każdorazowy termin dostawy pojedynczego zamówienia wyniesie …… dni robocze.</w:t>
      </w:r>
      <w:r w:rsidR="00EF32AE">
        <w:rPr>
          <w:b w:val="0"/>
          <w:sz w:val="22"/>
          <w:szCs w:val="22"/>
        </w:rPr>
        <w:t xml:space="preserve"> </w:t>
      </w:r>
      <w:r w:rsidR="00EF32AE" w:rsidRPr="00EF32AE">
        <w:rPr>
          <w:b w:val="0"/>
          <w:i/>
          <w:sz w:val="22"/>
          <w:szCs w:val="22"/>
        </w:rPr>
        <w:t>(Informacja podlega ocenie w kryterium oceny ofert)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E423A6">
        <w:rPr>
          <w:b w:val="0"/>
          <w:sz w:val="22"/>
          <w:szCs w:val="22"/>
        </w:rPr>
        <w:t>Oświadczam</w:t>
      </w:r>
      <w:r w:rsidR="001A7C46" w:rsidRPr="00E423A6">
        <w:rPr>
          <w:b w:val="0"/>
          <w:sz w:val="22"/>
          <w:szCs w:val="22"/>
        </w:rPr>
        <w:t>,</w:t>
      </w:r>
      <w:r w:rsidRPr="00E423A6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E423A6">
        <w:rPr>
          <w:b w:val="0"/>
          <w:sz w:val="22"/>
          <w:szCs w:val="22"/>
          <w:vertAlign w:val="superscript"/>
        </w:rPr>
        <w:t>1)</w:t>
      </w:r>
      <w:r w:rsidRPr="00E423A6">
        <w:rPr>
          <w:b w:val="0"/>
          <w:sz w:val="22"/>
          <w:szCs w:val="22"/>
        </w:rPr>
        <w:t xml:space="preserve"> </w:t>
      </w:r>
      <w:r w:rsidRPr="008F066A">
        <w:rPr>
          <w:b w:val="0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B76BA6">
      <w:pPr>
        <w:pStyle w:val="Tekstpodstawowy"/>
        <w:numPr>
          <w:ilvl w:val="0"/>
          <w:numId w:val="4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29509A" w:rsidRDefault="0029509A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0E271E">
        <w:rPr>
          <w:b/>
          <w:sz w:val="22"/>
        </w:rPr>
        <w:t xml:space="preserve"> Załącznik nr </w:t>
      </w:r>
      <w:r w:rsidR="0029509A">
        <w:rPr>
          <w:b/>
          <w:sz w:val="22"/>
        </w:rPr>
        <w:t>3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AC25FC">
        <w:rPr>
          <w:sz w:val="21"/>
          <w:szCs w:val="21"/>
        </w:rPr>
        <w:t>ZP.272.1</w:t>
      </w:r>
      <w:r w:rsidR="00592BEE">
        <w:rPr>
          <w:sz w:val="21"/>
          <w:szCs w:val="21"/>
        </w:rPr>
        <w:t>.1.2024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440527">
        <w:rPr>
          <w:b/>
          <w:sz w:val="21"/>
          <w:szCs w:val="21"/>
        </w:rPr>
        <w:t xml:space="preserve"> Dostawa artykułów biurowych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</w:t>
      </w:r>
      <w:r w:rsidR="0029509A">
        <w:rPr>
          <w:sz w:val="21"/>
          <w:szCs w:val="21"/>
        </w:rPr>
        <w:t xml:space="preserve"> łącznie następujące przesłanki,</w:t>
      </w:r>
      <w:r w:rsidR="0029509A">
        <w:rPr>
          <w:sz w:val="21"/>
          <w:szCs w:val="21"/>
        </w:rPr>
        <w:br/>
      </w:r>
      <w:r w:rsidRPr="0075730E">
        <w:rPr>
          <w:sz w:val="21"/>
          <w:szCs w:val="21"/>
        </w:rPr>
        <w:t>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C25FC" w:rsidRPr="00D87056" w:rsidRDefault="00AC25FC" w:rsidP="006133B0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tab/>
        <w:t xml:space="preserve">                                     </w:t>
      </w:r>
    </w:p>
    <w:p w:rsidR="007021FD" w:rsidRDefault="007021FD" w:rsidP="007021FD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29509A">
        <w:rPr>
          <w:sz w:val="22"/>
        </w:rPr>
        <w:t>4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29509A" w:rsidRDefault="007021FD" w:rsidP="0029509A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postępowaniu przedmiotem  którego jest</w:t>
      </w:r>
      <w:r w:rsidR="0029509A">
        <w:rPr>
          <w:b w:val="0"/>
          <w:sz w:val="22"/>
          <w:szCs w:val="22"/>
        </w:rPr>
        <w:t xml:space="preserve"> </w:t>
      </w:r>
      <w:r w:rsidR="0029509A" w:rsidRPr="0029509A">
        <w:rPr>
          <w:sz w:val="22"/>
          <w:szCs w:val="22"/>
        </w:rPr>
        <w:t>dostawa artykułów biurowych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B6" w:rsidRDefault="00E313B6" w:rsidP="004F2A5C">
      <w:pPr>
        <w:spacing w:after="0" w:line="240" w:lineRule="auto"/>
      </w:pPr>
      <w:r>
        <w:separator/>
      </w:r>
    </w:p>
  </w:endnote>
  <w:endnote w:type="continuationSeparator" w:id="0">
    <w:p w:rsidR="00E313B6" w:rsidRDefault="00E313B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626FEC" w:rsidRDefault="0062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59">
          <w:rPr>
            <w:noProof/>
          </w:rPr>
          <w:t>6</w:t>
        </w:r>
        <w:r>
          <w:fldChar w:fldCharType="end"/>
        </w:r>
      </w:p>
    </w:sdtContent>
  </w:sdt>
  <w:p w:rsidR="00626FEC" w:rsidRDefault="0062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B6" w:rsidRDefault="00E313B6" w:rsidP="004F2A5C">
      <w:pPr>
        <w:spacing w:after="0" w:line="240" w:lineRule="auto"/>
      </w:pPr>
      <w:r>
        <w:separator/>
      </w:r>
    </w:p>
  </w:footnote>
  <w:footnote w:type="continuationSeparator" w:id="0">
    <w:p w:rsidR="00E313B6" w:rsidRDefault="00E313B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F9419F"/>
    <w:multiLevelType w:val="hybridMultilevel"/>
    <w:tmpl w:val="513018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09A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6717"/>
    <w:rsid w:val="00317F14"/>
    <w:rsid w:val="00324C20"/>
    <w:rsid w:val="00325148"/>
    <w:rsid w:val="00333787"/>
    <w:rsid w:val="00333AC6"/>
    <w:rsid w:val="003366C6"/>
    <w:rsid w:val="00341CC4"/>
    <w:rsid w:val="00341E38"/>
    <w:rsid w:val="00351013"/>
    <w:rsid w:val="00352782"/>
    <w:rsid w:val="003562E7"/>
    <w:rsid w:val="00360621"/>
    <w:rsid w:val="003638AA"/>
    <w:rsid w:val="003645FB"/>
    <w:rsid w:val="00365EE4"/>
    <w:rsid w:val="00381A99"/>
    <w:rsid w:val="00383DDA"/>
    <w:rsid w:val="0038742B"/>
    <w:rsid w:val="00390081"/>
    <w:rsid w:val="003A60B9"/>
    <w:rsid w:val="003A6C50"/>
    <w:rsid w:val="003A70F2"/>
    <w:rsid w:val="003B4F14"/>
    <w:rsid w:val="003B6297"/>
    <w:rsid w:val="003D1B42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0527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97B0A"/>
    <w:rsid w:val="004B4C24"/>
    <w:rsid w:val="004B4F59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01B"/>
    <w:rsid w:val="005508BC"/>
    <w:rsid w:val="0055296F"/>
    <w:rsid w:val="00557AC0"/>
    <w:rsid w:val="00565B3B"/>
    <w:rsid w:val="00565D93"/>
    <w:rsid w:val="00576FC2"/>
    <w:rsid w:val="00581A47"/>
    <w:rsid w:val="005864CA"/>
    <w:rsid w:val="005865F4"/>
    <w:rsid w:val="00592BEE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26FEC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A36B4"/>
    <w:rsid w:val="006C1AFF"/>
    <w:rsid w:val="006C60B6"/>
    <w:rsid w:val="006D7510"/>
    <w:rsid w:val="006E175B"/>
    <w:rsid w:val="006E719B"/>
    <w:rsid w:val="006F76ED"/>
    <w:rsid w:val="007021FD"/>
    <w:rsid w:val="00705419"/>
    <w:rsid w:val="007144AC"/>
    <w:rsid w:val="007177BD"/>
    <w:rsid w:val="00722779"/>
    <w:rsid w:val="007247D2"/>
    <w:rsid w:val="007257B2"/>
    <w:rsid w:val="00726827"/>
    <w:rsid w:val="00727F31"/>
    <w:rsid w:val="00731674"/>
    <w:rsid w:val="0073703B"/>
    <w:rsid w:val="007373F1"/>
    <w:rsid w:val="007403E1"/>
    <w:rsid w:val="007508C4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4DC9"/>
    <w:rsid w:val="008655C1"/>
    <w:rsid w:val="00865B16"/>
    <w:rsid w:val="008677EE"/>
    <w:rsid w:val="008726D7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6759B"/>
    <w:rsid w:val="00971C0B"/>
    <w:rsid w:val="00973B78"/>
    <w:rsid w:val="0098753A"/>
    <w:rsid w:val="00992FEC"/>
    <w:rsid w:val="009A028E"/>
    <w:rsid w:val="009A285D"/>
    <w:rsid w:val="009A61F0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430A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2500E"/>
    <w:rsid w:val="00C30F76"/>
    <w:rsid w:val="00C34A44"/>
    <w:rsid w:val="00C3509C"/>
    <w:rsid w:val="00C50842"/>
    <w:rsid w:val="00C54E65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13B6"/>
    <w:rsid w:val="00E33E9C"/>
    <w:rsid w:val="00E376EB"/>
    <w:rsid w:val="00E402CB"/>
    <w:rsid w:val="00E423A6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1383"/>
    <w:rsid w:val="00EF32AE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7B9B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warmia.mazury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A035A.C98382B0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platformazakupowa.pl/pn/warmia.mazur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jpg@01DA4209.0C31A550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zamowienia@warmia.mazury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A01A0.4E95666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platformazakupowa.pl/pn/warmia.mazury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E6BA-56CD-46A9-918F-74A72131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21</Pages>
  <Words>6083</Words>
  <Characters>36502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27</cp:revision>
  <cp:lastPrinted>2024-01-09T12:03:00Z</cp:lastPrinted>
  <dcterms:created xsi:type="dcterms:W3CDTF">2022-04-27T05:28:00Z</dcterms:created>
  <dcterms:modified xsi:type="dcterms:W3CDTF">2024-01-09T12:03:00Z</dcterms:modified>
</cp:coreProperties>
</file>