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48" w:rsidRPr="00BA0649" w:rsidRDefault="001320FD" w:rsidP="00D60488">
      <w:pPr>
        <w:jc w:val="right"/>
        <w:rPr>
          <w:rFonts w:asciiTheme="majorHAnsi" w:hAnsiTheme="majorHAnsi"/>
          <w:b/>
          <w:sz w:val="28"/>
          <w:szCs w:val="28"/>
        </w:rPr>
      </w:pPr>
      <w:r w:rsidRPr="00BA0649">
        <w:rPr>
          <w:rFonts w:asciiTheme="majorHAnsi" w:hAnsiTheme="majorHAnsi"/>
          <w:b/>
          <w:sz w:val="28"/>
          <w:szCs w:val="28"/>
        </w:rPr>
        <w:t xml:space="preserve">Załącznik nr </w:t>
      </w:r>
      <w:r w:rsidR="001B15EC">
        <w:rPr>
          <w:rFonts w:asciiTheme="majorHAnsi" w:hAnsiTheme="majorHAnsi"/>
          <w:b/>
          <w:sz w:val="28"/>
          <w:szCs w:val="28"/>
        </w:rPr>
        <w:t>1</w:t>
      </w:r>
      <w:r w:rsidR="0009505D">
        <w:rPr>
          <w:rFonts w:asciiTheme="majorHAnsi" w:hAnsiTheme="majorHAnsi"/>
          <w:b/>
          <w:sz w:val="28"/>
          <w:szCs w:val="28"/>
        </w:rPr>
        <w:t xml:space="preserve"> do SIWZ</w:t>
      </w:r>
    </w:p>
    <w:p w:rsidR="001320FD" w:rsidRDefault="001320FD" w:rsidP="001320FD">
      <w:pPr>
        <w:rPr>
          <w:rFonts w:asciiTheme="majorHAnsi" w:hAnsiTheme="majorHAnsi"/>
          <w:b/>
          <w:sz w:val="28"/>
          <w:szCs w:val="28"/>
        </w:rPr>
      </w:pPr>
    </w:p>
    <w:p w:rsidR="001320FD" w:rsidRDefault="001320FD" w:rsidP="001320FD">
      <w:pPr>
        <w:rPr>
          <w:rFonts w:asciiTheme="majorHAnsi" w:hAnsiTheme="majorHAnsi"/>
          <w:b/>
          <w:sz w:val="28"/>
          <w:szCs w:val="28"/>
        </w:rPr>
      </w:pPr>
      <w:r w:rsidRPr="00BA0649">
        <w:rPr>
          <w:rFonts w:asciiTheme="majorHAnsi" w:hAnsiTheme="majorHAnsi"/>
          <w:b/>
          <w:sz w:val="28"/>
          <w:szCs w:val="28"/>
        </w:rPr>
        <w:t xml:space="preserve">SZCZEGÓŁOWY OPIS PRZEDMIOTU ZAMÓWIENIA </w:t>
      </w:r>
    </w:p>
    <w:p w:rsidR="001320FD" w:rsidRDefault="001320FD" w:rsidP="00F56CA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56CA0" w:rsidRPr="00023689" w:rsidRDefault="001320FD" w:rsidP="00F56CA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ZAKRES ZAMÓWIENIA:</w:t>
      </w:r>
    </w:p>
    <w:p w:rsidR="00520A3E" w:rsidRPr="00725F02" w:rsidRDefault="00D60488" w:rsidP="00520A3E">
      <w:pPr>
        <w:pStyle w:val="Akapitzlist"/>
        <w:numPr>
          <w:ilvl w:val="0"/>
          <w:numId w:val="5"/>
        </w:numPr>
        <w:spacing w:line="360" w:lineRule="auto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O</w:t>
      </w:r>
      <w:r w:rsidR="003B3845" w:rsidRPr="00725F02">
        <w:rPr>
          <w:rStyle w:val="fontstyle31"/>
          <w:sz w:val="24"/>
          <w:szCs w:val="24"/>
        </w:rPr>
        <w:t xml:space="preserve">pracowanie szczegółowego projektu wykonawczego dla przestrzeni ekspozycyjnej zlokalizowanej na parterze, </w:t>
      </w:r>
      <w:r w:rsidR="00682FBC" w:rsidRPr="00725F02">
        <w:rPr>
          <w:rStyle w:val="fontstyle31"/>
          <w:sz w:val="24"/>
          <w:szCs w:val="24"/>
        </w:rPr>
        <w:t xml:space="preserve">na </w:t>
      </w:r>
      <w:r w:rsidR="003B3845" w:rsidRPr="00725F02">
        <w:rPr>
          <w:rStyle w:val="fontstyle31"/>
          <w:sz w:val="24"/>
          <w:szCs w:val="24"/>
        </w:rPr>
        <w:t>piętrze</w:t>
      </w:r>
      <w:r w:rsidR="009738A1" w:rsidRPr="00725F02">
        <w:rPr>
          <w:rStyle w:val="fontstyle31"/>
          <w:sz w:val="24"/>
          <w:szCs w:val="24"/>
        </w:rPr>
        <w:t xml:space="preserve"> w aneksach</w:t>
      </w:r>
      <w:r w:rsidR="003B3845" w:rsidRPr="00725F02">
        <w:rPr>
          <w:rStyle w:val="fontstyle31"/>
          <w:sz w:val="24"/>
          <w:szCs w:val="24"/>
        </w:rPr>
        <w:t xml:space="preserve"> i antresoli </w:t>
      </w:r>
      <w:r w:rsidR="00520A3E" w:rsidRPr="00725F02">
        <w:rPr>
          <w:rStyle w:val="fontstyle31"/>
          <w:sz w:val="24"/>
          <w:szCs w:val="24"/>
        </w:rPr>
        <w:t>(</w:t>
      </w:r>
      <w:r w:rsidR="003B3845" w:rsidRPr="00725F02">
        <w:rPr>
          <w:rStyle w:val="fontstyle31"/>
          <w:sz w:val="24"/>
          <w:szCs w:val="24"/>
        </w:rPr>
        <w:t>szczegółowy zakres objęty projektem</w:t>
      </w:r>
      <w:r w:rsidR="00023689" w:rsidRPr="00725F02">
        <w:rPr>
          <w:rStyle w:val="fontstyle31"/>
          <w:sz w:val="24"/>
          <w:szCs w:val="24"/>
        </w:rPr>
        <w:t xml:space="preserve"> został określony w </w:t>
      </w:r>
      <w:r w:rsidR="003B3845" w:rsidRPr="00725F02">
        <w:rPr>
          <w:rStyle w:val="fontstyle31"/>
          <w:sz w:val="24"/>
          <w:szCs w:val="24"/>
        </w:rPr>
        <w:t xml:space="preserve"> </w:t>
      </w:r>
      <w:r w:rsidR="003B3845" w:rsidRPr="00D60488">
        <w:rPr>
          <w:rStyle w:val="fontstyle31"/>
          <w:b/>
          <w:color w:val="FF0000"/>
          <w:sz w:val="24"/>
          <w:szCs w:val="24"/>
        </w:rPr>
        <w:t>załącznik</w:t>
      </w:r>
      <w:r w:rsidR="00023689" w:rsidRPr="00D60488">
        <w:rPr>
          <w:rStyle w:val="fontstyle31"/>
          <w:b/>
          <w:color w:val="FF0000"/>
          <w:sz w:val="24"/>
          <w:szCs w:val="24"/>
        </w:rPr>
        <w:t>u</w:t>
      </w:r>
      <w:r w:rsidR="003B3845" w:rsidRPr="00D60488">
        <w:rPr>
          <w:rStyle w:val="fontstyle31"/>
          <w:b/>
          <w:color w:val="FF0000"/>
          <w:sz w:val="24"/>
          <w:szCs w:val="24"/>
        </w:rPr>
        <w:t xml:space="preserve"> nr </w:t>
      </w:r>
      <w:r w:rsidR="006F43C0">
        <w:rPr>
          <w:rStyle w:val="fontstyle31"/>
          <w:b/>
          <w:color w:val="FF0000"/>
          <w:sz w:val="24"/>
          <w:szCs w:val="24"/>
        </w:rPr>
        <w:t>1</w:t>
      </w:r>
      <w:r w:rsidR="009F4B8B">
        <w:rPr>
          <w:rStyle w:val="fontstyle31"/>
          <w:b/>
          <w:color w:val="FF0000"/>
          <w:sz w:val="24"/>
          <w:szCs w:val="24"/>
        </w:rPr>
        <w:t>c</w:t>
      </w:r>
      <w:r w:rsidR="00023689" w:rsidRPr="00D60488">
        <w:rPr>
          <w:rStyle w:val="fontstyle31"/>
          <w:b/>
          <w:color w:val="FF0000"/>
          <w:sz w:val="24"/>
          <w:szCs w:val="24"/>
        </w:rPr>
        <w:t xml:space="preserve"> i </w:t>
      </w:r>
      <w:r w:rsidR="006F43C0">
        <w:rPr>
          <w:rStyle w:val="fontstyle31"/>
          <w:b/>
          <w:color w:val="FF0000"/>
          <w:sz w:val="24"/>
          <w:szCs w:val="24"/>
        </w:rPr>
        <w:t>1</w:t>
      </w:r>
      <w:r w:rsidR="009F4B8B">
        <w:rPr>
          <w:rStyle w:val="fontstyle31"/>
          <w:b/>
          <w:color w:val="FF0000"/>
          <w:sz w:val="24"/>
          <w:szCs w:val="24"/>
        </w:rPr>
        <w:t>d do SIWZ</w:t>
      </w:r>
      <w:r w:rsidR="00520A3E" w:rsidRPr="00D60488">
        <w:rPr>
          <w:rStyle w:val="fontstyle31"/>
          <w:b/>
          <w:color w:val="FF0000"/>
          <w:sz w:val="24"/>
          <w:szCs w:val="24"/>
        </w:rPr>
        <w:t xml:space="preserve"> </w:t>
      </w:r>
      <w:r w:rsidR="009F4B8B">
        <w:rPr>
          <w:rStyle w:val="fontstyle31"/>
          <w:b/>
          <w:color w:val="FF0000"/>
          <w:sz w:val="24"/>
          <w:szCs w:val="24"/>
        </w:rPr>
        <w:t>oraz w załączonym poniżej zestawieniu zbio</w:t>
      </w:r>
      <w:bookmarkStart w:id="0" w:name="_GoBack"/>
      <w:bookmarkEnd w:id="0"/>
      <w:r w:rsidR="009F4B8B">
        <w:rPr>
          <w:rStyle w:val="fontstyle31"/>
          <w:b/>
          <w:color w:val="FF0000"/>
          <w:sz w:val="24"/>
          <w:szCs w:val="24"/>
        </w:rPr>
        <w:t>rczym</w:t>
      </w:r>
      <w:r w:rsidR="006F43C0">
        <w:rPr>
          <w:rStyle w:val="fontstyle31"/>
          <w:b/>
          <w:color w:val="FF0000"/>
          <w:sz w:val="24"/>
          <w:szCs w:val="24"/>
        </w:rPr>
        <w:t>.</w:t>
      </w:r>
      <w:r>
        <w:rPr>
          <w:rStyle w:val="fontstyle31"/>
          <w:sz w:val="24"/>
          <w:szCs w:val="24"/>
        </w:rPr>
        <w:t xml:space="preserve"> </w:t>
      </w:r>
      <w:r w:rsidRPr="00D60488">
        <w:rPr>
          <w:rStyle w:val="fontstyle31"/>
          <w:b/>
          <w:color w:val="FF0000"/>
          <w:sz w:val="24"/>
          <w:szCs w:val="24"/>
        </w:rPr>
        <w:t>W ramach projektu wykonawczego należy opracować szczegółowe ścieżki zwiedzania całej przestrzeni ekspo</w:t>
      </w:r>
      <w:r w:rsidR="00B9027B">
        <w:rPr>
          <w:rStyle w:val="fontstyle31"/>
          <w:b/>
          <w:color w:val="FF0000"/>
          <w:sz w:val="24"/>
          <w:szCs w:val="24"/>
        </w:rPr>
        <w:t>z</w:t>
      </w:r>
      <w:r w:rsidRPr="00D60488">
        <w:rPr>
          <w:rStyle w:val="fontstyle31"/>
          <w:b/>
          <w:color w:val="FF0000"/>
          <w:sz w:val="24"/>
          <w:szCs w:val="24"/>
        </w:rPr>
        <w:t>yc</w:t>
      </w:r>
      <w:r w:rsidR="009A1CC7">
        <w:rPr>
          <w:rStyle w:val="fontstyle31"/>
          <w:b/>
          <w:color w:val="FF0000"/>
          <w:sz w:val="24"/>
          <w:szCs w:val="24"/>
        </w:rPr>
        <w:t>y</w:t>
      </w:r>
      <w:r w:rsidRPr="00D60488">
        <w:rPr>
          <w:rStyle w:val="fontstyle31"/>
          <w:b/>
          <w:color w:val="FF0000"/>
          <w:sz w:val="24"/>
          <w:szCs w:val="24"/>
        </w:rPr>
        <w:t>jnej.</w:t>
      </w:r>
      <w:r w:rsidRPr="00D60488">
        <w:rPr>
          <w:rStyle w:val="fontstyle31"/>
          <w:color w:val="FF0000"/>
          <w:sz w:val="24"/>
          <w:szCs w:val="24"/>
        </w:rPr>
        <w:t xml:space="preserve"> </w:t>
      </w:r>
      <w:r w:rsidR="000A28E8" w:rsidRPr="00D60488">
        <w:rPr>
          <w:rStyle w:val="fontstyle31"/>
          <w:color w:val="FF0000"/>
          <w:sz w:val="24"/>
          <w:szCs w:val="24"/>
        </w:rPr>
        <w:t xml:space="preserve"> </w:t>
      </w:r>
    </w:p>
    <w:p w:rsidR="003B3845" w:rsidRPr="00725F02" w:rsidRDefault="00D60488" w:rsidP="003B3845">
      <w:pPr>
        <w:pStyle w:val="Akapitzlist"/>
        <w:numPr>
          <w:ilvl w:val="0"/>
          <w:numId w:val="5"/>
        </w:numPr>
        <w:spacing w:line="360" w:lineRule="auto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W</w:t>
      </w:r>
      <w:r w:rsidR="00E93BCD" w:rsidRPr="00725F02">
        <w:rPr>
          <w:rStyle w:val="fontstyle31"/>
          <w:sz w:val="24"/>
          <w:szCs w:val="24"/>
        </w:rPr>
        <w:t>ykonanie, dostaw</w:t>
      </w:r>
      <w:r w:rsidR="009738A1" w:rsidRPr="00725F02">
        <w:rPr>
          <w:rStyle w:val="fontstyle31"/>
          <w:sz w:val="24"/>
          <w:szCs w:val="24"/>
        </w:rPr>
        <w:t>ę</w:t>
      </w:r>
      <w:r w:rsidR="00E93BCD" w:rsidRPr="00725F02">
        <w:rPr>
          <w:rStyle w:val="fontstyle31"/>
          <w:sz w:val="24"/>
          <w:szCs w:val="24"/>
        </w:rPr>
        <w:t xml:space="preserve"> i montaż, na podstawie przygotowanego i zatwierdzon</w:t>
      </w:r>
      <w:r w:rsidR="00520A3E" w:rsidRPr="00725F02">
        <w:rPr>
          <w:rStyle w:val="fontstyle31"/>
          <w:sz w:val="24"/>
          <w:szCs w:val="24"/>
        </w:rPr>
        <w:t>ych</w:t>
      </w:r>
      <w:r w:rsidR="00E93BCD" w:rsidRPr="00725F02">
        <w:rPr>
          <w:rStyle w:val="fontstyle31"/>
          <w:sz w:val="24"/>
          <w:szCs w:val="24"/>
        </w:rPr>
        <w:t xml:space="preserve"> przez Zamawiającego</w:t>
      </w:r>
      <w:r w:rsidR="00520A3E" w:rsidRPr="00725F02">
        <w:rPr>
          <w:rStyle w:val="fontstyle31"/>
          <w:sz w:val="24"/>
          <w:szCs w:val="24"/>
        </w:rPr>
        <w:t xml:space="preserve"> do realizacji </w:t>
      </w:r>
      <w:r w:rsidR="00E93BCD" w:rsidRPr="00725F02">
        <w:rPr>
          <w:rStyle w:val="fontstyle31"/>
          <w:sz w:val="24"/>
          <w:szCs w:val="24"/>
        </w:rPr>
        <w:t xml:space="preserve"> </w:t>
      </w:r>
      <w:r w:rsidR="00520A3E" w:rsidRPr="00725F02">
        <w:rPr>
          <w:rStyle w:val="fontstyle31"/>
          <w:sz w:val="24"/>
          <w:szCs w:val="24"/>
        </w:rPr>
        <w:t>projektu wykonawczego:</w:t>
      </w:r>
    </w:p>
    <w:p w:rsidR="00520A3E" w:rsidRPr="00725F02" w:rsidRDefault="00520A3E" w:rsidP="00520A3E">
      <w:pPr>
        <w:pStyle w:val="Akapitzlist"/>
        <w:numPr>
          <w:ilvl w:val="0"/>
          <w:numId w:val="6"/>
        </w:numPr>
        <w:spacing w:line="360" w:lineRule="auto"/>
        <w:jc w:val="both"/>
        <w:rPr>
          <w:rStyle w:val="fontstyle31"/>
          <w:sz w:val="24"/>
          <w:szCs w:val="24"/>
        </w:rPr>
      </w:pPr>
      <w:r w:rsidRPr="00725F02">
        <w:rPr>
          <w:rStyle w:val="fontstyle31"/>
          <w:sz w:val="24"/>
          <w:szCs w:val="24"/>
        </w:rPr>
        <w:t xml:space="preserve">elementów aranżacji wnętrz </w:t>
      </w:r>
    </w:p>
    <w:p w:rsidR="00520A3E" w:rsidRPr="00725F02" w:rsidRDefault="00520A3E" w:rsidP="00520A3E">
      <w:pPr>
        <w:pStyle w:val="Akapitzlist"/>
        <w:spacing w:line="360" w:lineRule="auto"/>
        <w:ind w:left="1080"/>
        <w:jc w:val="both"/>
        <w:rPr>
          <w:rStyle w:val="fontstyle31"/>
          <w:sz w:val="24"/>
          <w:szCs w:val="24"/>
        </w:rPr>
      </w:pPr>
      <w:r w:rsidRPr="00725F02">
        <w:rPr>
          <w:rStyle w:val="fontstyle31"/>
          <w:sz w:val="24"/>
          <w:szCs w:val="24"/>
        </w:rPr>
        <w:t xml:space="preserve">- gabloty, zabudowy, </w:t>
      </w:r>
      <w:proofErr w:type="spellStart"/>
      <w:r w:rsidRPr="00725F02">
        <w:rPr>
          <w:rStyle w:val="fontstyle31"/>
          <w:sz w:val="24"/>
          <w:szCs w:val="24"/>
        </w:rPr>
        <w:t>prezentery</w:t>
      </w:r>
      <w:proofErr w:type="spellEnd"/>
      <w:r w:rsidRPr="00725F02">
        <w:rPr>
          <w:rStyle w:val="fontstyle31"/>
          <w:sz w:val="24"/>
          <w:szCs w:val="24"/>
        </w:rPr>
        <w:t xml:space="preserve"> ekspozycyjne </w:t>
      </w:r>
    </w:p>
    <w:p w:rsidR="00520A3E" w:rsidRPr="00725F02" w:rsidRDefault="00520A3E" w:rsidP="00520A3E">
      <w:pPr>
        <w:pStyle w:val="Akapitzlist"/>
        <w:spacing w:line="360" w:lineRule="auto"/>
        <w:ind w:left="1080"/>
        <w:jc w:val="both"/>
        <w:rPr>
          <w:rStyle w:val="fontstyle31"/>
          <w:sz w:val="24"/>
          <w:szCs w:val="24"/>
        </w:rPr>
      </w:pPr>
      <w:r w:rsidRPr="00725F02">
        <w:rPr>
          <w:rStyle w:val="fontstyle31"/>
          <w:sz w:val="24"/>
          <w:szCs w:val="24"/>
        </w:rPr>
        <w:t xml:space="preserve">- zabudowy urządzeń multimedialnych </w:t>
      </w:r>
    </w:p>
    <w:p w:rsidR="00520A3E" w:rsidRPr="00725F02" w:rsidRDefault="00520A3E" w:rsidP="00520A3E">
      <w:pPr>
        <w:pStyle w:val="Akapitzlist"/>
        <w:spacing w:line="360" w:lineRule="auto"/>
        <w:ind w:left="1080"/>
        <w:jc w:val="both"/>
        <w:rPr>
          <w:rStyle w:val="fontstyle31"/>
          <w:sz w:val="24"/>
          <w:szCs w:val="24"/>
        </w:rPr>
      </w:pPr>
      <w:r w:rsidRPr="00725F02">
        <w:rPr>
          <w:rStyle w:val="fontstyle31"/>
          <w:sz w:val="24"/>
          <w:szCs w:val="24"/>
        </w:rPr>
        <w:t>- elementy scenograficzne, plastyczne</w:t>
      </w:r>
    </w:p>
    <w:p w:rsidR="00520A3E" w:rsidRDefault="00520A3E" w:rsidP="00520A3E">
      <w:pPr>
        <w:pStyle w:val="Akapitzlist"/>
        <w:spacing w:line="360" w:lineRule="auto"/>
        <w:ind w:left="1080"/>
        <w:jc w:val="both"/>
        <w:rPr>
          <w:rStyle w:val="fontstyle31"/>
          <w:sz w:val="24"/>
          <w:szCs w:val="24"/>
        </w:rPr>
      </w:pPr>
      <w:r w:rsidRPr="00725F02">
        <w:rPr>
          <w:rStyle w:val="fontstyle31"/>
          <w:sz w:val="24"/>
          <w:szCs w:val="24"/>
        </w:rPr>
        <w:t xml:space="preserve">- makiety </w:t>
      </w:r>
    </w:p>
    <w:p w:rsidR="00DE71E1" w:rsidRPr="00DE71E1" w:rsidRDefault="00DE71E1" w:rsidP="00DE71E1">
      <w:pPr>
        <w:pStyle w:val="Akapitzlist"/>
        <w:spacing w:line="360" w:lineRule="auto"/>
        <w:ind w:left="108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- grafiki</w:t>
      </w:r>
    </w:p>
    <w:p w:rsidR="00520A3E" w:rsidRPr="00725F02" w:rsidRDefault="00520A3E" w:rsidP="00520A3E">
      <w:pPr>
        <w:spacing w:line="360" w:lineRule="auto"/>
        <w:jc w:val="both"/>
        <w:rPr>
          <w:rStyle w:val="fontstyle31"/>
          <w:sz w:val="24"/>
          <w:szCs w:val="24"/>
        </w:rPr>
      </w:pPr>
      <w:r w:rsidRPr="00725F02">
        <w:rPr>
          <w:rStyle w:val="fontstyle31"/>
          <w:sz w:val="24"/>
          <w:szCs w:val="24"/>
        </w:rPr>
        <w:t xml:space="preserve">            b)   </w:t>
      </w:r>
      <w:r w:rsidR="00023689" w:rsidRPr="00725F02">
        <w:rPr>
          <w:rStyle w:val="fontstyle31"/>
          <w:sz w:val="24"/>
          <w:szCs w:val="24"/>
        </w:rPr>
        <w:t xml:space="preserve">systemu multimedialnego  </w:t>
      </w:r>
    </w:p>
    <w:p w:rsidR="001C734D" w:rsidRDefault="00023689" w:rsidP="00D60488">
      <w:pPr>
        <w:spacing w:line="360" w:lineRule="auto"/>
        <w:jc w:val="both"/>
        <w:rPr>
          <w:rStyle w:val="fontstyle31"/>
          <w:sz w:val="24"/>
          <w:szCs w:val="24"/>
        </w:rPr>
      </w:pPr>
      <w:r w:rsidRPr="00725F02">
        <w:rPr>
          <w:rStyle w:val="fontstyle31"/>
          <w:sz w:val="24"/>
          <w:szCs w:val="24"/>
        </w:rPr>
        <w:t xml:space="preserve">           c)     aplikacji multimedialnych </w:t>
      </w:r>
    </w:p>
    <w:p w:rsidR="00B15E26" w:rsidRPr="00B15E26" w:rsidRDefault="00D60488" w:rsidP="00B15E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color w:val="FF0000"/>
        </w:rPr>
      </w:pPr>
      <w:r w:rsidRPr="00D60488">
        <w:rPr>
          <w:rStyle w:val="fontstyle31"/>
          <w:b/>
          <w:color w:val="FF0000"/>
          <w:sz w:val="24"/>
          <w:szCs w:val="24"/>
        </w:rPr>
        <w:t>Dostarczanie i zainstalowanie dwóch projektorów multimedialnych na wstawie Czas Świętowania (</w:t>
      </w:r>
      <w:r w:rsidRPr="00D60488">
        <w:rPr>
          <w:rFonts w:asciiTheme="majorHAnsi" w:hAnsiTheme="majorHAnsi"/>
          <w:b/>
          <w:color w:val="FF0000"/>
        </w:rPr>
        <w:t>Poz. 3 - Projektor multimedialny WUXGA, jasność  min. 6000 – TYP</w:t>
      </w:r>
      <w:r w:rsidR="006F43C0">
        <w:rPr>
          <w:rFonts w:asciiTheme="majorHAnsi" w:hAnsiTheme="majorHAnsi"/>
          <w:b/>
          <w:color w:val="FF0000"/>
        </w:rPr>
        <w:t>).</w:t>
      </w:r>
    </w:p>
    <w:p w:rsidR="00B15E26" w:rsidRDefault="00D60488" w:rsidP="00520A3E">
      <w:pPr>
        <w:pStyle w:val="Akapitzlist"/>
        <w:numPr>
          <w:ilvl w:val="0"/>
          <w:numId w:val="5"/>
        </w:numPr>
        <w:spacing w:line="360" w:lineRule="auto"/>
        <w:jc w:val="both"/>
        <w:rPr>
          <w:rStyle w:val="fontstyle31"/>
          <w:b/>
          <w:color w:val="FF0000"/>
          <w:sz w:val="24"/>
          <w:szCs w:val="24"/>
        </w:rPr>
      </w:pPr>
      <w:r w:rsidRPr="00B15E26">
        <w:rPr>
          <w:rStyle w:val="fontstyle31"/>
          <w:b/>
          <w:color w:val="FF0000"/>
          <w:sz w:val="24"/>
          <w:szCs w:val="24"/>
        </w:rPr>
        <w:t>Dostarczenie projektora multimedialnego  i ekranu ramowego</w:t>
      </w:r>
      <w:r w:rsidR="00B15E26" w:rsidRPr="00B15E26">
        <w:rPr>
          <w:rStyle w:val="fontstyle31"/>
          <w:b/>
          <w:color w:val="FF0000"/>
          <w:sz w:val="24"/>
          <w:szCs w:val="24"/>
        </w:rPr>
        <w:t xml:space="preserve"> </w:t>
      </w:r>
      <w:r w:rsidRPr="00B15E26">
        <w:rPr>
          <w:rStyle w:val="fontstyle31"/>
          <w:b/>
          <w:color w:val="FF0000"/>
          <w:sz w:val="24"/>
          <w:szCs w:val="24"/>
        </w:rPr>
        <w:t xml:space="preserve">  </w:t>
      </w:r>
      <w:r w:rsidR="00B15E26" w:rsidRPr="00B15E26">
        <w:rPr>
          <w:rFonts w:asciiTheme="majorHAnsi" w:hAnsiTheme="majorHAnsi"/>
        </w:rPr>
        <w:t>(</w:t>
      </w:r>
      <w:r w:rsidR="00B15E26" w:rsidRPr="00B15E26">
        <w:rPr>
          <w:rFonts w:asciiTheme="majorHAnsi" w:hAnsiTheme="majorHAnsi"/>
          <w:b/>
          <w:color w:val="FF0000"/>
        </w:rPr>
        <w:t xml:space="preserve">Poz. 5  - Projektor multimedialny WUXGA, jasność  min. 7000 Lumen  - TYP 3) </w:t>
      </w:r>
      <w:r w:rsidRPr="00B15E26">
        <w:rPr>
          <w:rStyle w:val="fontstyle31"/>
          <w:b/>
          <w:color w:val="FF0000"/>
          <w:sz w:val="24"/>
          <w:szCs w:val="24"/>
        </w:rPr>
        <w:t>- zestaw mobilny</w:t>
      </w:r>
    </w:p>
    <w:p w:rsidR="009F4B8B" w:rsidRDefault="009F4B8B" w:rsidP="00520A3E">
      <w:pPr>
        <w:spacing w:line="360" w:lineRule="auto"/>
        <w:jc w:val="both"/>
        <w:rPr>
          <w:rStyle w:val="fontstyle31"/>
          <w:sz w:val="24"/>
          <w:szCs w:val="24"/>
        </w:rPr>
      </w:pPr>
    </w:p>
    <w:p w:rsidR="00023689" w:rsidRPr="00725F02" w:rsidRDefault="008A3F0C" w:rsidP="00520A3E">
      <w:pPr>
        <w:spacing w:line="360" w:lineRule="auto"/>
        <w:jc w:val="both"/>
        <w:rPr>
          <w:rStyle w:val="fontstyle31"/>
          <w:sz w:val="24"/>
          <w:szCs w:val="24"/>
        </w:rPr>
      </w:pPr>
      <w:r w:rsidRPr="00725F02">
        <w:rPr>
          <w:rStyle w:val="fontstyle31"/>
          <w:sz w:val="24"/>
          <w:szCs w:val="24"/>
        </w:rPr>
        <w:t xml:space="preserve">W terminie 2 tygodni </w:t>
      </w:r>
      <w:r w:rsidR="00A3052C" w:rsidRPr="00725F02">
        <w:rPr>
          <w:rStyle w:val="fontstyle31"/>
          <w:sz w:val="24"/>
          <w:szCs w:val="24"/>
        </w:rPr>
        <w:t>o</w:t>
      </w:r>
      <w:r w:rsidRPr="00725F02">
        <w:rPr>
          <w:rStyle w:val="fontstyle31"/>
          <w:sz w:val="24"/>
          <w:szCs w:val="24"/>
        </w:rPr>
        <w:t>d</w:t>
      </w:r>
      <w:r w:rsidR="00A3052C" w:rsidRPr="00725F02">
        <w:rPr>
          <w:rStyle w:val="fontstyle31"/>
          <w:sz w:val="24"/>
          <w:szCs w:val="24"/>
        </w:rPr>
        <w:t xml:space="preserve"> podpisani</w:t>
      </w:r>
      <w:r w:rsidRPr="00725F02">
        <w:rPr>
          <w:rStyle w:val="fontstyle31"/>
          <w:sz w:val="24"/>
          <w:szCs w:val="24"/>
        </w:rPr>
        <w:t>a</w:t>
      </w:r>
      <w:r w:rsidR="00A3052C" w:rsidRPr="00725F02">
        <w:rPr>
          <w:rStyle w:val="fontstyle31"/>
          <w:sz w:val="24"/>
          <w:szCs w:val="24"/>
        </w:rPr>
        <w:t xml:space="preserve"> umowy Zamawiający przekaże Wykonawcy szczegółowe wytyczne scenariuszowe oraz przekaże listę eksponatów, jakie  będą umieszczone na ekspozycji.</w:t>
      </w:r>
      <w:r w:rsidR="000A28E8">
        <w:rPr>
          <w:rStyle w:val="fontstyle31"/>
          <w:sz w:val="24"/>
          <w:szCs w:val="24"/>
        </w:rPr>
        <w:t xml:space="preserve">  Zdjęcia, materiały graficzne, filmy zostaną przekazane przez Zamawiającego na etapie realizacji  - jednak  nie później niż  3 miesiące przed planowanym zakończeniem realizacji projektu. </w:t>
      </w:r>
    </w:p>
    <w:p w:rsidR="00E66BF1" w:rsidRPr="00520A3E" w:rsidRDefault="00E66BF1" w:rsidP="00520A3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725F02">
        <w:rPr>
          <w:rStyle w:val="fontstyle31"/>
          <w:sz w:val="24"/>
          <w:szCs w:val="24"/>
        </w:rPr>
        <w:lastRenderedPageBreak/>
        <w:t>Przed wykonaniem projektu wykonawczego, Wykonawca powinien wykonać inwentaryzację wszystkich pomieszczeń objętych projektem i na jej podstawie wykonać szczegółowe opracowanie projektowe</w:t>
      </w:r>
      <w:r>
        <w:rPr>
          <w:rFonts w:asciiTheme="minorHAnsi" w:hAnsiTheme="minorHAnsi" w:cstheme="minorHAnsi"/>
          <w:sz w:val="22"/>
        </w:rPr>
        <w:t xml:space="preserve">. </w:t>
      </w:r>
    </w:p>
    <w:p w:rsidR="00A0573D" w:rsidRPr="009A1CC7" w:rsidRDefault="00FF0149" w:rsidP="00F56CA0">
      <w:pPr>
        <w:spacing w:line="360" w:lineRule="auto"/>
        <w:jc w:val="both"/>
        <w:rPr>
          <w:rStyle w:val="fontstyle31"/>
          <w:b/>
          <w:color w:val="FF0000"/>
          <w:sz w:val="24"/>
          <w:szCs w:val="24"/>
        </w:rPr>
      </w:pPr>
      <w:r w:rsidRPr="009A1CC7">
        <w:rPr>
          <w:rStyle w:val="fontstyle31"/>
          <w:b/>
          <w:color w:val="FF0000"/>
          <w:sz w:val="24"/>
          <w:szCs w:val="24"/>
        </w:rPr>
        <w:t>Po podpisaniu umowy w terminie 10 dni Wykonawca przygotuje</w:t>
      </w:r>
      <w:r w:rsidR="00B9027B" w:rsidRPr="009A1CC7">
        <w:rPr>
          <w:rStyle w:val="fontstyle31"/>
          <w:b/>
          <w:color w:val="FF0000"/>
          <w:sz w:val="24"/>
          <w:szCs w:val="24"/>
        </w:rPr>
        <w:t xml:space="preserve"> w uzgodnieniu z Zamawiaj</w:t>
      </w:r>
      <w:r w:rsidR="006F43C0">
        <w:rPr>
          <w:rStyle w:val="fontstyle31"/>
          <w:b/>
          <w:color w:val="FF0000"/>
          <w:sz w:val="24"/>
          <w:szCs w:val="24"/>
        </w:rPr>
        <w:t>ą</w:t>
      </w:r>
      <w:r w:rsidR="00B9027B" w:rsidRPr="009A1CC7">
        <w:rPr>
          <w:rStyle w:val="fontstyle31"/>
          <w:b/>
          <w:color w:val="FF0000"/>
          <w:sz w:val="24"/>
          <w:szCs w:val="24"/>
        </w:rPr>
        <w:t>cym</w:t>
      </w:r>
      <w:r w:rsidRPr="009A1CC7">
        <w:rPr>
          <w:rStyle w:val="fontstyle31"/>
          <w:b/>
          <w:color w:val="FF0000"/>
          <w:sz w:val="24"/>
          <w:szCs w:val="24"/>
        </w:rPr>
        <w:t xml:space="preserve"> szczegółowy harmonogram prac związanych z realizacją umowy, uwzględniając w nim toczące się prace budowlane</w:t>
      </w:r>
      <w:r w:rsidR="00B9027B" w:rsidRPr="009A1CC7">
        <w:rPr>
          <w:rStyle w:val="fontstyle31"/>
          <w:b/>
          <w:color w:val="FF0000"/>
          <w:sz w:val="24"/>
          <w:szCs w:val="24"/>
        </w:rPr>
        <w:t xml:space="preserve">.    </w:t>
      </w:r>
    </w:p>
    <w:p w:rsidR="006F43C0" w:rsidRDefault="006F43C0" w:rsidP="006F43C0">
      <w:pPr>
        <w:rPr>
          <w:rFonts w:asciiTheme="minorHAnsi" w:hAnsiTheme="minorHAnsi" w:cstheme="minorHAnsi"/>
          <w:b/>
        </w:rPr>
      </w:pPr>
    </w:p>
    <w:p w:rsidR="006F43C0" w:rsidRPr="006F43C0" w:rsidRDefault="006F43C0" w:rsidP="006F43C0">
      <w:pPr>
        <w:rPr>
          <w:rFonts w:asciiTheme="minorHAnsi" w:hAnsiTheme="minorHAnsi" w:cstheme="minorHAnsi"/>
          <w:b/>
        </w:rPr>
      </w:pPr>
      <w:r w:rsidRPr="006F43C0">
        <w:rPr>
          <w:rFonts w:asciiTheme="minorHAnsi" w:hAnsiTheme="minorHAnsi" w:cstheme="minorHAnsi"/>
          <w:b/>
        </w:rPr>
        <w:t>Zestawienie zbiorcze</w:t>
      </w:r>
    </w:p>
    <w:p w:rsidR="006F43C0" w:rsidRDefault="006F43C0" w:rsidP="006F43C0">
      <w:pPr>
        <w:rPr>
          <w:b/>
          <w:sz w:val="28"/>
          <w:szCs w:val="28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00"/>
        <w:gridCol w:w="3920"/>
        <w:gridCol w:w="1360"/>
        <w:gridCol w:w="1480"/>
      </w:tblGrid>
      <w:tr w:rsidR="006F43C0" w:rsidRPr="00A042C8" w:rsidTr="00F7768D">
        <w:trPr>
          <w:trHeight w:val="7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Lokalizacja (planowane umiejscowienie zakupu)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wyposażenia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Afryka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Gablota typ G01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Afryka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Gablota typ G02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Afryka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Zabudowa  typ G05 (hologram)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Afryka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Stanowisko edukacyjne  - wielostanowiskowy stół multimedialny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Afryka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Siedziska do stołu warsztatowego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Afryka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Wykonanie fil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 holograficznego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Afryka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Grafiki, wydruki, podpisy pod eksponaty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Gablota typ G01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Gablota typ G02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Gablota typ  G03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(ETAP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0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Zabudowa do wirtualnej przymierzalni typ G04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Gablota typ G06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Gablota typ G07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Gablota typ G08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Gablota typ G09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(ETAP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0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Gablota typ G10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 (ETAP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0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10.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Gablota typ G11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 (ETAP 2)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FF0000"/>
                <w:sz w:val="18"/>
                <w:szCs w:val="18"/>
              </w:rPr>
              <w:t>0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Obudowa totem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Sofy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6F43C0" w:rsidRPr="00A042C8" w:rsidTr="00F7768D">
        <w:trPr>
          <w:trHeight w:val="3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Manekiny damski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6F43C0" w:rsidRPr="00A042C8" w:rsidTr="00F7768D">
        <w:trPr>
          <w:trHeight w:val="3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Manekiny męski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6F43C0" w:rsidRPr="00A042C8" w:rsidTr="00F7768D">
        <w:trPr>
          <w:trHeight w:val="3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Wystawy czasowe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Grafiki, wydruki, podpisy pod eksponaty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F43C0" w:rsidRPr="00A042C8" w:rsidTr="00F7768D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Pozostałe  - dostosowanie ścieżek dla niepełnosprawnych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Makiet Muzeum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Pozostałe  - dostosowanie ścieżek dla niepełnosprawnych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Lupy - stanowiska z małymi eksponatami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6F43C0" w:rsidRPr="00A042C8" w:rsidTr="00F7768D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Pozostałe  - dostosowanie ścieżek dla niepełnosprawnych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Siedzisko wg. autorskiego projektu dla niepełnosprawnych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Pozostałe  - dostosowanie ścieżek dla niepełnosprawnych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Mapa ekspozycji - </w:t>
            </w: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tyflografika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6F43C0" w:rsidRPr="00A042C8" w:rsidTr="00F7768D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Pozostałe  - dostosowanie ścieżek dla niepełnosprawnych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Makieta </w:t>
            </w: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Sygagogi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Pozostałe  - dostosowanie ścieżek dla niepełnosprawnych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Oznaczenie gablot dla słabowidzących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Pozostałe  - dostosowanie ścieżek dla niepełnosprawnych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Tyflografiki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dla wybranych 10 eksponatów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6F43C0" w:rsidRPr="00A042C8" w:rsidTr="00F7768D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Pozostałe  - dostosowanie ścieżek dla niepełnosprawnych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Obiekty 3D do dotykania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6F43C0" w:rsidRPr="00A042C8" w:rsidTr="00F7768D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Pozostałe  - dostosowanie ścieżek dla niepełnosprawnych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Mapa ekspozycji  Braille’a   - format A3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F43C0" w:rsidRPr="00A042C8" w:rsidTr="00F7768D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Monitor typ 1, o przekątnej  31,5' z nakładką dotykową min.  6 punktów dotyku  (do stanowiska totem) wraz z aplikacją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6F43C0" w:rsidRPr="00A042C8" w:rsidTr="00F7768D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Monitor typ 2,  o przekątnej  21,5' z nakładką dotykową min.  6 punktów dotyku  (do wbudowania w gabloty i stano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ska edukacyjnego ) wraz z aplikacja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Projektor multimedialny typ. 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Projektor multimedialny typ.  2 z materiałem wideo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Projektor multimedialny typ.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Obiektyw typ 1 do projektor typ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Obiektyw typ 2 do projektora typ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Obiektyw typ 3 do projektora typ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Ściana wideo z monitorów bezszwowych  LCD o przekątnej 46  - zestaw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składający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się 8 szt. monitorów bezsz</w:t>
            </w:r>
            <w:r w:rsidR="009F4B8B">
              <w:rPr>
                <w:rFonts w:ascii="Calibri" w:hAnsi="Calibri" w:cs="Calibri"/>
                <w:color w:val="000000"/>
                <w:sz w:val="18"/>
                <w:szCs w:val="18"/>
              </w:rPr>
              <w:t>w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owych, komputer </w:t>
            </w: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player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, konstrukcja do instalacji monit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rów wraz z aplikacją wideo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Wirtualna przymierzalnia  - lustro interaktywne składające się z monitora LCD o przekątnej 65", obudowy, komputera typu </w:t>
            </w: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player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kamera wraz z aplikacją wideo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Monitor typ 4   - do wbudowania  w stanowisko edukacyjne  wraz z aplikacją interaktywną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Głośniki kierunkowe wraz ze wzmacniaczem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Player audio  - do głośnika kierunkowego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Player multimedialny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Stanowisko luneta z wbudowanym tabletem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Elementy instalacyjne do monitorów, projektorów, playerów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6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Automatyczny odbiornik z funkcjami: -radiowe wyzwalanie nagrań, - współpraca z nadajnikami dźwi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kowymi, - odtwarzanie ję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yka migowego MOVI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Znaczniki radiowe ob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 xml:space="preserve">ektu  - RF Marker MOVI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</w:tr>
      <w:tr w:rsidR="006F43C0" w:rsidRPr="00A042C8" w:rsidTr="00F7768D">
        <w:trPr>
          <w:trHeight w:val="4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 xml:space="preserve">Znaczniki z nadajnikiem dźwiękowym ułatwiające lokalizację w przestrzeni  MOVI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Ładowarka dla 10 szt. Odbiorników MOVI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 xml:space="preserve">Słuchawki MOVI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tla indukcyjna MOVI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Nagranie ścieżki dźwiękowej  - 40 min./  język polski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3C0" w:rsidRPr="00A042C8" w:rsidRDefault="006F43C0" w:rsidP="00F776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 xml:space="preserve">Nagranie ścieżki dźwiękowej z funkcją </w:t>
            </w:r>
            <w:proofErr w:type="spellStart"/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audiod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skrypcji</w:t>
            </w:r>
            <w:proofErr w:type="spellEnd"/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 xml:space="preserve"> - 40 min.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3C0" w:rsidRPr="00A042C8" w:rsidRDefault="006F43C0" w:rsidP="00F776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 xml:space="preserve">Nagranie lektorskie  - język migowy  - 40 min.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Nagranie ścieżki dźwiękowej  - 40 min./  język angielski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2C8">
              <w:rPr>
                <w:rFonts w:ascii="Arial" w:hAnsi="Arial" w:cs="Arial"/>
                <w:color w:val="000000"/>
                <w:sz w:val="16"/>
                <w:szCs w:val="16"/>
              </w:rPr>
              <w:t>Nagranie ścieżki dźwiękowej  - 40 min./  język niemiecki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12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System nagłośnienia ogólnego  - nagłośnienie strefowe: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- 6 szt. głośników zwieszanych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- 24 głośniki naścienne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- 1 wzmacniacz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- 3 </w:t>
            </w: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playery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audio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Centralny system sterowania wystawą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9F4B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Okablowanie sygnałowe, steruj</w:t>
            </w:r>
            <w:r w:rsidR="009F4B8B">
              <w:rPr>
                <w:rFonts w:ascii="Calibri" w:hAnsi="Calibri" w:cs="Calibri"/>
                <w:color w:val="000000"/>
                <w:sz w:val="18"/>
                <w:szCs w:val="18"/>
              </w:rPr>
              <w:t>ą</w:t>
            </w: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ce, zasilające na potrzeby systemu multimedialnego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6F43C0" w:rsidRPr="00A042C8" w:rsidTr="00F7768D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Sprzęt multimedialny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9F4B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Montaż instalacja i uruchomienie systemu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C0" w:rsidRPr="00A042C8" w:rsidRDefault="006F43C0" w:rsidP="00F776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C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6F43C0" w:rsidRDefault="006F43C0" w:rsidP="006F43C0">
      <w:pPr>
        <w:rPr>
          <w:b/>
          <w:sz w:val="28"/>
          <w:szCs w:val="28"/>
        </w:rPr>
      </w:pPr>
    </w:p>
    <w:p w:rsidR="006F43C0" w:rsidRDefault="006F43C0" w:rsidP="00F56CA0">
      <w:pPr>
        <w:spacing w:line="360" w:lineRule="auto"/>
        <w:jc w:val="both"/>
        <w:rPr>
          <w:rStyle w:val="fontstyle31"/>
          <w:b/>
          <w:sz w:val="24"/>
          <w:szCs w:val="24"/>
        </w:rPr>
      </w:pPr>
    </w:p>
    <w:p w:rsidR="006F43C0" w:rsidRDefault="006F43C0" w:rsidP="00F56CA0">
      <w:pPr>
        <w:spacing w:line="360" w:lineRule="auto"/>
        <w:jc w:val="both"/>
        <w:rPr>
          <w:rStyle w:val="fontstyle31"/>
          <w:b/>
          <w:sz w:val="24"/>
          <w:szCs w:val="24"/>
        </w:rPr>
      </w:pPr>
    </w:p>
    <w:p w:rsidR="00F56CA0" w:rsidRPr="00F42710" w:rsidRDefault="00F56CA0" w:rsidP="00F56CA0">
      <w:pPr>
        <w:spacing w:line="360" w:lineRule="auto"/>
        <w:jc w:val="both"/>
        <w:rPr>
          <w:rStyle w:val="fontstyle31"/>
          <w:b/>
          <w:sz w:val="24"/>
          <w:szCs w:val="24"/>
        </w:rPr>
      </w:pPr>
      <w:r w:rsidRPr="00F42710">
        <w:rPr>
          <w:rStyle w:val="fontstyle31"/>
          <w:b/>
          <w:sz w:val="24"/>
          <w:szCs w:val="24"/>
        </w:rPr>
        <w:t xml:space="preserve">Założenia programowe </w:t>
      </w:r>
      <w:r w:rsidR="003B3845" w:rsidRPr="00F42710">
        <w:rPr>
          <w:rStyle w:val="fontstyle31"/>
          <w:b/>
          <w:sz w:val="24"/>
          <w:szCs w:val="24"/>
        </w:rPr>
        <w:t>do</w:t>
      </w:r>
      <w:r w:rsidRPr="00F42710">
        <w:rPr>
          <w:rStyle w:val="fontstyle31"/>
          <w:b/>
          <w:sz w:val="24"/>
          <w:szCs w:val="24"/>
        </w:rPr>
        <w:t xml:space="preserve"> wystawy stałej „Wielkie Cywilizacje Starego i Nowego Świata”</w:t>
      </w:r>
    </w:p>
    <w:p w:rsidR="00F56CA0" w:rsidRPr="00F42710" w:rsidRDefault="00F56CA0" w:rsidP="00F56CA0">
      <w:pPr>
        <w:spacing w:line="360" w:lineRule="auto"/>
        <w:jc w:val="both"/>
        <w:rPr>
          <w:rFonts w:ascii="Tahoma" w:hAnsi="Tahoma" w:cs="Tahoma"/>
        </w:rPr>
      </w:pPr>
    </w:p>
    <w:p w:rsidR="00F56CA0" w:rsidRPr="00F42710" w:rsidRDefault="00F56CA0" w:rsidP="00F56CA0">
      <w:pPr>
        <w:spacing w:line="360" w:lineRule="auto"/>
        <w:jc w:val="both"/>
        <w:rPr>
          <w:rStyle w:val="fontstyle31"/>
          <w:sz w:val="24"/>
          <w:szCs w:val="24"/>
        </w:rPr>
      </w:pPr>
      <w:r w:rsidRPr="00F42710">
        <w:rPr>
          <w:rStyle w:val="fontstyle31"/>
          <w:sz w:val="24"/>
          <w:szCs w:val="24"/>
        </w:rPr>
        <w:t>Celem wystawy jest udostępnienie zwiedzającym najważniejszych muzealiów zgromadzonych w Państwowym Muzeum Etnograficznym w Warszawie, które reprezentują kulturę i osiągnięcia cywilizacyjne narodów azjatyckic</w:t>
      </w:r>
      <w:r w:rsidR="00562F6E" w:rsidRPr="00F42710">
        <w:rPr>
          <w:rStyle w:val="fontstyle31"/>
          <w:sz w:val="24"/>
          <w:szCs w:val="24"/>
        </w:rPr>
        <w:t xml:space="preserve">h, afrykańskich </w:t>
      </w:r>
      <w:r w:rsidRPr="00F42710">
        <w:rPr>
          <w:rStyle w:val="fontstyle31"/>
          <w:sz w:val="24"/>
          <w:szCs w:val="24"/>
        </w:rPr>
        <w:t>i amerykańskich Perspektywę etnologiczną uzupełnią aneksy poświęcone społecznościom plemiennym oraz kulturowo-etnicznym peryferiom cywilizacji współczesnej. Symetryczny układ  architektoniczny sali głównej pozwoli rozwinąć przed zwiedzającymi wystawę barwną opowieść o równoczesnym odkrywaniu przez Europejczyków obu części świata i zarazem poznawaniu jego złożonej struktury geograficznej i cywilizacyjnej.</w:t>
      </w:r>
    </w:p>
    <w:p w:rsidR="00F56CA0" w:rsidRPr="00F42710" w:rsidRDefault="00F56CA0" w:rsidP="00F56CA0">
      <w:pPr>
        <w:spacing w:line="360" w:lineRule="auto"/>
        <w:jc w:val="both"/>
        <w:rPr>
          <w:rFonts w:ascii="Tahoma" w:hAnsi="Tahoma" w:cs="Tahoma"/>
        </w:rPr>
      </w:pPr>
    </w:p>
    <w:p w:rsidR="00F56CA0" w:rsidRPr="00682FBC" w:rsidRDefault="00F56CA0" w:rsidP="00682FB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fontstyle31"/>
          <w:b/>
          <w:sz w:val="24"/>
          <w:szCs w:val="24"/>
        </w:rPr>
      </w:pPr>
      <w:r w:rsidRPr="00682FBC">
        <w:rPr>
          <w:rStyle w:val="fontstyle31"/>
          <w:b/>
          <w:sz w:val="24"/>
          <w:szCs w:val="24"/>
        </w:rPr>
        <w:lastRenderedPageBreak/>
        <w:t>Założenia metodologiczne.</w:t>
      </w:r>
    </w:p>
    <w:p w:rsidR="00F56CA0" w:rsidRPr="00F42710" w:rsidRDefault="00F56CA0" w:rsidP="00F56CA0">
      <w:pPr>
        <w:spacing w:line="360" w:lineRule="auto"/>
        <w:jc w:val="both"/>
        <w:rPr>
          <w:rStyle w:val="fontstyle31"/>
          <w:sz w:val="24"/>
          <w:szCs w:val="24"/>
        </w:rPr>
      </w:pPr>
      <w:r w:rsidRPr="00F42710">
        <w:rPr>
          <w:rStyle w:val="fontstyle31"/>
          <w:sz w:val="24"/>
          <w:szCs w:val="24"/>
        </w:rPr>
        <w:t>Różnorodność zbiorów amerykańskich (w ilości ponad 3600 obiektów)</w:t>
      </w:r>
      <w:r w:rsidR="00264DA6" w:rsidRPr="00F42710">
        <w:rPr>
          <w:rStyle w:val="fontstyle31"/>
          <w:sz w:val="24"/>
          <w:szCs w:val="24"/>
        </w:rPr>
        <w:t>,</w:t>
      </w:r>
      <w:r w:rsidRPr="00F42710">
        <w:rPr>
          <w:rStyle w:val="fontstyle31"/>
          <w:sz w:val="24"/>
          <w:szCs w:val="24"/>
        </w:rPr>
        <w:t xml:space="preserve"> azjatyckich (ponad 4000 obiektów) </w:t>
      </w:r>
      <w:r w:rsidR="00264DA6" w:rsidRPr="00F42710">
        <w:rPr>
          <w:rStyle w:val="fontstyle31"/>
          <w:sz w:val="24"/>
          <w:szCs w:val="24"/>
        </w:rPr>
        <w:t xml:space="preserve">i afrykańskich ( w ilości 14000) </w:t>
      </w:r>
      <w:r w:rsidRPr="00F42710">
        <w:rPr>
          <w:rStyle w:val="fontstyle31"/>
          <w:sz w:val="24"/>
          <w:szCs w:val="24"/>
        </w:rPr>
        <w:t xml:space="preserve">znajdujących się w PME w Warszawie pozwoli stworzyć pełną reprezentację tego barwnego i zróżnicowanego świata. </w:t>
      </w:r>
    </w:p>
    <w:p w:rsidR="00F56CA0" w:rsidRPr="00F42710" w:rsidRDefault="00F56CA0" w:rsidP="00F56CA0">
      <w:pPr>
        <w:spacing w:line="360" w:lineRule="auto"/>
        <w:jc w:val="both"/>
        <w:rPr>
          <w:rFonts w:ascii="Tahoma" w:hAnsi="Tahoma" w:cs="Tahoma"/>
        </w:rPr>
      </w:pPr>
    </w:p>
    <w:p w:rsidR="00F56CA0" w:rsidRPr="00F42710" w:rsidRDefault="00F56CA0" w:rsidP="00F56CA0">
      <w:pPr>
        <w:spacing w:line="360" w:lineRule="auto"/>
        <w:jc w:val="both"/>
        <w:rPr>
          <w:rFonts w:ascii="Tahoma" w:hAnsi="Tahoma" w:cs="Tahoma"/>
        </w:rPr>
      </w:pPr>
      <w:r w:rsidRPr="00F42710">
        <w:rPr>
          <w:rStyle w:val="fontstyle31"/>
          <w:sz w:val="24"/>
          <w:szCs w:val="24"/>
        </w:rPr>
        <w:t>Ekspozycja, realizowana za pomocą rozbudowanej infografiki i multimediów</w:t>
      </w:r>
      <w:r w:rsidR="009738A1">
        <w:rPr>
          <w:rStyle w:val="fontstyle31"/>
          <w:sz w:val="24"/>
          <w:szCs w:val="24"/>
        </w:rPr>
        <w:t xml:space="preserve"> oraz klasycznej prezentacji zabytków</w:t>
      </w:r>
      <w:r w:rsidRPr="00F42710">
        <w:rPr>
          <w:rStyle w:val="fontstyle31"/>
          <w:sz w:val="24"/>
          <w:szCs w:val="24"/>
        </w:rPr>
        <w:t xml:space="preserve">, w dużej części </w:t>
      </w:r>
      <w:r w:rsidR="009738A1">
        <w:rPr>
          <w:rStyle w:val="fontstyle31"/>
          <w:sz w:val="24"/>
          <w:szCs w:val="24"/>
        </w:rPr>
        <w:t xml:space="preserve">powinna mieć </w:t>
      </w:r>
      <w:r w:rsidRPr="00F42710">
        <w:rPr>
          <w:rStyle w:val="fontstyle31"/>
          <w:sz w:val="24"/>
          <w:szCs w:val="24"/>
        </w:rPr>
        <w:t xml:space="preserve">charakter narracyjny. </w:t>
      </w:r>
      <w:r w:rsidR="009738A1">
        <w:rPr>
          <w:rStyle w:val="fontstyle31"/>
          <w:sz w:val="24"/>
          <w:szCs w:val="24"/>
        </w:rPr>
        <w:t xml:space="preserve"> </w:t>
      </w:r>
    </w:p>
    <w:p w:rsidR="00F56CA0" w:rsidRDefault="00F56CA0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F56CA0" w:rsidRPr="00682FBC" w:rsidRDefault="00F56CA0" w:rsidP="00682FB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fontstyle31"/>
          <w:b/>
          <w:sz w:val="24"/>
          <w:szCs w:val="24"/>
        </w:rPr>
      </w:pPr>
      <w:r w:rsidRPr="00682FBC">
        <w:rPr>
          <w:rStyle w:val="fontstyle31"/>
          <w:b/>
          <w:sz w:val="24"/>
          <w:szCs w:val="24"/>
        </w:rPr>
        <w:t>Program funkcjonalno-przestrzenny.</w:t>
      </w:r>
    </w:p>
    <w:p w:rsidR="00F56CA0" w:rsidRPr="00F42710" w:rsidRDefault="00F56CA0" w:rsidP="00F56CA0">
      <w:pPr>
        <w:spacing w:line="360" w:lineRule="auto"/>
        <w:jc w:val="both"/>
        <w:rPr>
          <w:rStyle w:val="fontstyle31"/>
          <w:sz w:val="24"/>
          <w:szCs w:val="24"/>
        </w:rPr>
      </w:pPr>
      <w:r w:rsidRPr="00F42710">
        <w:rPr>
          <w:rStyle w:val="fontstyle31"/>
          <w:sz w:val="24"/>
          <w:szCs w:val="24"/>
        </w:rPr>
        <w:t>Wystawa została zaplanowana na dwóch poziomach w sali głównej oraz w aneksach skomunikowanych ze sobą za pomocą kładki. W centralnej części parteru znajdzie się narracyjna część ekspozycji, po prawej jej stronie – wystawa</w:t>
      </w:r>
      <w:r w:rsidR="00264DA6" w:rsidRPr="00F42710">
        <w:rPr>
          <w:rStyle w:val="fontstyle31"/>
          <w:sz w:val="24"/>
          <w:szCs w:val="24"/>
        </w:rPr>
        <w:t xml:space="preserve"> afrykańska</w:t>
      </w:r>
      <w:r w:rsidRPr="00F42710">
        <w:rPr>
          <w:rStyle w:val="fontstyle31"/>
          <w:sz w:val="24"/>
          <w:szCs w:val="24"/>
        </w:rPr>
        <w:t xml:space="preserve">, po lewej – </w:t>
      </w:r>
      <w:r w:rsidR="00264DA6" w:rsidRPr="00F42710">
        <w:rPr>
          <w:rStyle w:val="fontstyle31"/>
          <w:sz w:val="24"/>
          <w:szCs w:val="24"/>
        </w:rPr>
        <w:t xml:space="preserve"> azjatycka</w:t>
      </w:r>
      <w:r w:rsidR="00F42710" w:rsidRPr="00F42710">
        <w:rPr>
          <w:rStyle w:val="fontstyle31"/>
          <w:sz w:val="24"/>
          <w:szCs w:val="24"/>
        </w:rPr>
        <w:t>.</w:t>
      </w:r>
      <w:r w:rsidRPr="00F42710">
        <w:rPr>
          <w:rStyle w:val="fontstyle31"/>
          <w:sz w:val="24"/>
          <w:szCs w:val="24"/>
        </w:rPr>
        <w:t xml:space="preserve"> Dalsza część wystawy</w:t>
      </w:r>
      <w:r w:rsidR="00264DA6" w:rsidRPr="00F42710">
        <w:rPr>
          <w:rStyle w:val="fontstyle31"/>
          <w:sz w:val="24"/>
          <w:szCs w:val="24"/>
        </w:rPr>
        <w:t>, będzie to część</w:t>
      </w:r>
      <w:r w:rsidRPr="00F42710">
        <w:rPr>
          <w:rStyle w:val="fontstyle31"/>
          <w:sz w:val="24"/>
          <w:szCs w:val="24"/>
        </w:rPr>
        <w:t xml:space="preserve"> amerykańsk</w:t>
      </w:r>
      <w:r w:rsidR="00264DA6" w:rsidRPr="00F42710">
        <w:rPr>
          <w:rStyle w:val="fontstyle31"/>
          <w:sz w:val="24"/>
          <w:szCs w:val="24"/>
        </w:rPr>
        <w:t xml:space="preserve">a, </w:t>
      </w:r>
      <w:r w:rsidRPr="00F42710">
        <w:rPr>
          <w:rStyle w:val="fontstyle31"/>
          <w:sz w:val="24"/>
          <w:szCs w:val="24"/>
        </w:rPr>
        <w:t>zajmie klatkę schodową prowadzącą na poziom wyższy. Z poziomu tego, przemieszczając się wzdłuż pomostu i kładki w stronę aneksów wschodniej części wystawy i znajdującej się tam windy, będzie można oglądać zawartość górnego piętra symetrycznie usytuowanych witryn szklanych. Wystawa będzie w pełni przystosowana do potrzeb osób poruszających się na wózkach inwalidzkich, osób głuchoniemych, niewidzących i słabowidzących.</w:t>
      </w:r>
    </w:p>
    <w:p w:rsidR="00F56CA0" w:rsidRDefault="00F56CA0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F56CA0" w:rsidRPr="00682FBC" w:rsidRDefault="00F56CA0" w:rsidP="00682FB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fontstyle31"/>
          <w:b/>
          <w:sz w:val="24"/>
          <w:szCs w:val="24"/>
        </w:rPr>
      </w:pPr>
      <w:r w:rsidRPr="00682FBC">
        <w:rPr>
          <w:rStyle w:val="fontstyle31"/>
          <w:b/>
          <w:sz w:val="24"/>
          <w:szCs w:val="24"/>
        </w:rPr>
        <w:t>Założenia programowe</w:t>
      </w:r>
    </w:p>
    <w:p w:rsidR="00F56CA0" w:rsidRPr="00682FBC" w:rsidRDefault="00F56CA0" w:rsidP="00F56CA0">
      <w:pPr>
        <w:spacing w:line="360" w:lineRule="auto"/>
        <w:jc w:val="both"/>
        <w:rPr>
          <w:rStyle w:val="fontstyle31"/>
          <w:sz w:val="24"/>
          <w:szCs w:val="24"/>
        </w:rPr>
      </w:pPr>
      <w:r w:rsidRPr="00682FBC">
        <w:rPr>
          <w:rStyle w:val="fontstyle31"/>
          <w:sz w:val="24"/>
          <w:szCs w:val="24"/>
        </w:rPr>
        <w:t xml:space="preserve">Do szczególnie ważnych zespołów artefaktów prezentowanych na wystawie należą: </w:t>
      </w:r>
      <w:proofErr w:type="spellStart"/>
      <w:r w:rsidRPr="00682FBC">
        <w:rPr>
          <w:rStyle w:val="fontstyle31"/>
          <w:sz w:val="24"/>
          <w:szCs w:val="24"/>
        </w:rPr>
        <w:t>inuicka</w:t>
      </w:r>
      <w:proofErr w:type="spellEnd"/>
      <w:r w:rsidRPr="00682FBC">
        <w:rPr>
          <w:rStyle w:val="fontstyle31"/>
          <w:sz w:val="24"/>
          <w:szCs w:val="24"/>
        </w:rPr>
        <w:t xml:space="preserve"> kolekcja figurek Konstantego Podhorskiego z pocz. XX w. , unikalne preparowane ludzkie głowy (</w:t>
      </w:r>
      <w:proofErr w:type="spellStart"/>
      <w:r w:rsidRPr="00682FBC">
        <w:rPr>
          <w:rStyle w:val="fontstyle31"/>
          <w:sz w:val="24"/>
          <w:szCs w:val="24"/>
        </w:rPr>
        <w:t>tsansa</w:t>
      </w:r>
      <w:proofErr w:type="spellEnd"/>
      <w:r w:rsidRPr="00682FBC">
        <w:rPr>
          <w:rStyle w:val="fontstyle31"/>
          <w:sz w:val="24"/>
          <w:szCs w:val="24"/>
        </w:rPr>
        <w:t xml:space="preserve">) Indian </w:t>
      </w:r>
      <w:proofErr w:type="spellStart"/>
      <w:r w:rsidRPr="00682FBC">
        <w:rPr>
          <w:rStyle w:val="fontstyle31"/>
          <w:sz w:val="24"/>
          <w:szCs w:val="24"/>
        </w:rPr>
        <w:t>Jivaro</w:t>
      </w:r>
      <w:proofErr w:type="spellEnd"/>
      <w:r w:rsidRPr="00682FBC">
        <w:rPr>
          <w:rStyle w:val="fontstyle31"/>
          <w:sz w:val="24"/>
          <w:szCs w:val="24"/>
        </w:rPr>
        <w:t xml:space="preserve"> z terenów dzisiejszego Ekwadoru, zespół ceramiki </w:t>
      </w:r>
      <w:proofErr w:type="spellStart"/>
      <w:r w:rsidRPr="00682FBC">
        <w:rPr>
          <w:rStyle w:val="fontstyle31"/>
          <w:sz w:val="24"/>
          <w:szCs w:val="24"/>
        </w:rPr>
        <w:t>przedhiszpańskiej</w:t>
      </w:r>
      <w:proofErr w:type="spellEnd"/>
      <w:r w:rsidRPr="00682FBC">
        <w:rPr>
          <w:rStyle w:val="fontstyle31"/>
          <w:sz w:val="24"/>
          <w:szCs w:val="24"/>
        </w:rPr>
        <w:t>, oraz zbiór współczesnych strojów indiańskich z terenu Meksyku. Nie mniej ważną grupą obiektów są azjatyckie rzeźby i przedmioty kultu (głównie buddyjskiego), czy indonezyjskie i chińskie marionetki z teatru cieni</w:t>
      </w:r>
      <w:r w:rsidR="00E367BF" w:rsidRPr="00682FBC">
        <w:rPr>
          <w:rStyle w:val="fontstyle31"/>
          <w:sz w:val="24"/>
          <w:szCs w:val="24"/>
        </w:rPr>
        <w:t xml:space="preserve"> a także cenne zbiory afrykańskie.</w:t>
      </w:r>
    </w:p>
    <w:p w:rsidR="00F56CA0" w:rsidRPr="00682FBC" w:rsidRDefault="00F56CA0" w:rsidP="00F56CA0">
      <w:pPr>
        <w:spacing w:line="360" w:lineRule="auto"/>
        <w:jc w:val="both"/>
        <w:rPr>
          <w:rStyle w:val="fontstyle31"/>
          <w:sz w:val="24"/>
          <w:szCs w:val="24"/>
        </w:rPr>
      </w:pPr>
    </w:p>
    <w:p w:rsidR="00F56CA0" w:rsidRPr="00682FBC" w:rsidRDefault="00F56CA0" w:rsidP="00F56CA0">
      <w:pPr>
        <w:spacing w:line="360" w:lineRule="auto"/>
        <w:jc w:val="both"/>
        <w:rPr>
          <w:rStyle w:val="fontstyle31"/>
          <w:sz w:val="24"/>
          <w:szCs w:val="24"/>
        </w:rPr>
      </w:pPr>
      <w:r w:rsidRPr="00682FBC">
        <w:rPr>
          <w:rStyle w:val="fontstyle31"/>
          <w:sz w:val="24"/>
          <w:szCs w:val="24"/>
        </w:rPr>
        <w:t xml:space="preserve">Wybrane artefakty odsłaniają </w:t>
      </w:r>
      <w:r w:rsidR="003B04EC">
        <w:rPr>
          <w:rStyle w:val="fontstyle31"/>
          <w:sz w:val="24"/>
          <w:szCs w:val="24"/>
        </w:rPr>
        <w:t xml:space="preserve">umieszczone na wystawie mają na celu odsłonić </w:t>
      </w:r>
      <w:r w:rsidRPr="00682FBC">
        <w:rPr>
          <w:rStyle w:val="fontstyle31"/>
          <w:sz w:val="24"/>
          <w:szCs w:val="24"/>
        </w:rPr>
        <w:t xml:space="preserve">główne przesłanie </w:t>
      </w:r>
      <w:r w:rsidR="003B04EC">
        <w:rPr>
          <w:rStyle w:val="fontstyle31"/>
          <w:sz w:val="24"/>
          <w:szCs w:val="24"/>
        </w:rPr>
        <w:t>ekspozycji</w:t>
      </w:r>
      <w:r w:rsidRPr="00682FBC">
        <w:rPr>
          <w:rStyle w:val="fontstyle31"/>
          <w:sz w:val="24"/>
          <w:szCs w:val="24"/>
        </w:rPr>
        <w:t xml:space="preserve">: niezwykłość i odmienność odległych (od Europy) kultur, ich estetyki, wierzeń i tradycji, mogą stać się źródłem wielu inspiracji badawczych, duchowych i </w:t>
      </w:r>
      <w:r w:rsidRPr="00682FBC">
        <w:rPr>
          <w:rStyle w:val="fontstyle31"/>
          <w:sz w:val="24"/>
          <w:szCs w:val="24"/>
        </w:rPr>
        <w:lastRenderedPageBreak/>
        <w:t xml:space="preserve">artystycznych. Możliwość zaprezentowania w jednej przestrzeni wystawienniczej akcesoriów obrzędowych, sztuki religijnej, rzemiosła artystycznego i kostiumów, pochodzących z różnych krajów i czasów, stworzy niebywałą okazję do poznania zmian zachodzących w obrębie odmiennych cywilizacji dając jednocześnie możliwość analizy porównawczej rozwijających się potrzeb intelektualnych. Oprócz </w:t>
      </w:r>
      <w:r w:rsidR="003B04EC">
        <w:rPr>
          <w:rStyle w:val="fontstyle31"/>
          <w:sz w:val="24"/>
          <w:szCs w:val="24"/>
        </w:rPr>
        <w:t>zdobywania</w:t>
      </w:r>
      <w:r w:rsidRPr="00682FBC">
        <w:rPr>
          <w:rStyle w:val="fontstyle31"/>
          <w:sz w:val="24"/>
          <w:szCs w:val="24"/>
        </w:rPr>
        <w:t xml:space="preserve"> wiedzy o kulturach pozaeuropejskich i niematerialnym</w:t>
      </w:r>
      <w:r w:rsidR="003B04EC">
        <w:rPr>
          <w:rStyle w:val="fontstyle31"/>
          <w:sz w:val="24"/>
          <w:szCs w:val="24"/>
        </w:rPr>
        <w:t xml:space="preserve"> nierzadko</w:t>
      </w:r>
      <w:r w:rsidRPr="00682FBC">
        <w:rPr>
          <w:rStyle w:val="fontstyle31"/>
          <w:sz w:val="24"/>
          <w:szCs w:val="24"/>
        </w:rPr>
        <w:t xml:space="preserve"> ich dziedzictwie, </w:t>
      </w:r>
      <w:r w:rsidR="003B04EC">
        <w:rPr>
          <w:rStyle w:val="fontstyle31"/>
          <w:sz w:val="24"/>
          <w:szCs w:val="24"/>
        </w:rPr>
        <w:t xml:space="preserve">wystawa ma również uwrażliwiać na odmienność estetyczną zachęcając jednocześnie odbiorców do odkrywania wartości rzeczy oryginalnych, częstokroć zakorzenionych jednak w tradycji. </w:t>
      </w:r>
      <w:r w:rsidRPr="00682FBC">
        <w:rPr>
          <w:rStyle w:val="fontstyle31"/>
          <w:sz w:val="24"/>
          <w:szCs w:val="24"/>
        </w:rPr>
        <w:t xml:space="preserve"> </w:t>
      </w:r>
    </w:p>
    <w:p w:rsidR="00F56CA0" w:rsidRPr="00DC07A0" w:rsidRDefault="00F56CA0" w:rsidP="00F56CA0">
      <w:pPr>
        <w:spacing w:line="360" w:lineRule="auto"/>
        <w:jc w:val="both"/>
        <w:rPr>
          <w:rFonts w:ascii="Tahoma" w:hAnsi="Tahoma" w:cs="Tahoma"/>
          <w:strike/>
          <w:sz w:val="22"/>
        </w:rPr>
      </w:pPr>
    </w:p>
    <w:p w:rsidR="00F56CA0" w:rsidRPr="00682FBC" w:rsidRDefault="00E367BF" w:rsidP="00F56CA0">
      <w:pPr>
        <w:spacing w:line="360" w:lineRule="auto"/>
        <w:jc w:val="both"/>
        <w:rPr>
          <w:rStyle w:val="fontstyle31"/>
          <w:sz w:val="24"/>
          <w:szCs w:val="24"/>
        </w:rPr>
      </w:pPr>
      <w:r w:rsidRPr="00682FBC">
        <w:rPr>
          <w:rStyle w:val="fontstyle31"/>
          <w:sz w:val="24"/>
          <w:szCs w:val="24"/>
        </w:rPr>
        <w:t>Lewa</w:t>
      </w:r>
      <w:r w:rsidR="00F56CA0" w:rsidRPr="00682FBC">
        <w:rPr>
          <w:rStyle w:val="fontstyle31"/>
          <w:sz w:val="24"/>
          <w:szCs w:val="24"/>
        </w:rPr>
        <w:t xml:space="preserve"> część ekspozycji pomieści obiekty poświęcone Azji wyszczególnione w podziale tematycznym przestrzeni wystawy: Od Turcji do Indii: Życie codzienne i wierzenia, Różne oblicza buddyzmu, Rzemiosło artystyczne, Tradycyjny strój, Teatr i Taniec Azji.</w:t>
      </w:r>
    </w:p>
    <w:p w:rsidR="00F56CA0" w:rsidRPr="00682FBC" w:rsidRDefault="00F56CA0" w:rsidP="00F56CA0">
      <w:pPr>
        <w:spacing w:line="360" w:lineRule="auto"/>
        <w:jc w:val="both"/>
        <w:rPr>
          <w:rStyle w:val="fontstyle31"/>
          <w:sz w:val="24"/>
          <w:szCs w:val="24"/>
        </w:rPr>
      </w:pPr>
    </w:p>
    <w:p w:rsidR="00F56CA0" w:rsidRPr="00682FBC" w:rsidRDefault="00F56CA0" w:rsidP="00F56CA0">
      <w:pPr>
        <w:spacing w:line="360" w:lineRule="auto"/>
        <w:jc w:val="both"/>
        <w:rPr>
          <w:rStyle w:val="fontstyle31"/>
          <w:sz w:val="24"/>
          <w:szCs w:val="24"/>
        </w:rPr>
      </w:pPr>
      <w:r w:rsidRPr="00682FBC">
        <w:rPr>
          <w:rStyle w:val="fontstyle31"/>
          <w:sz w:val="24"/>
          <w:szCs w:val="24"/>
        </w:rPr>
        <w:t xml:space="preserve"> </w:t>
      </w:r>
      <w:r w:rsidR="003B04EC">
        <w:rPr>
          <w:rStyle w:val="fontstyle31"/>
          <w:sz w:val="24"/>
          <w:szCs w:val="24"/>
        </w:rPr>
        <w:t>Prawa c</w:t>
      </w:r>
      <w:r w:rsidR="00682FBC">
        <w:rPr>
          <w:rStyle w:val="fontstyle31"/>
          <w:sz w:val="24"/>
          <w:szCs w:val="24"/>
        </w:rPr>
        <w:t>z</w:t>
      </w:r>
      <w:r w:rsidRPr="00682FBC">
        <w:rPr>
          <w:rStyle w:val="fontstyle31"/>
          <w:sz w:val="24"/>
          <w:szCs w:val="24"/>
        </w:rPr>
        <w:t xml:space="preserve">ęść ekspozycji pomieści obiekty archeologiczne i współczesne z terenów Meksyku wyszczególnione w podziale tematycznym przestrzeni wystawy: Meksyk – od kultur </w:t>
      </w:r>
      <w:proofErr w:type="spellStart"/>
      <w:r w:rsidRPr="00682FBC">
        <w:rPr>
          <w:rStyle w:val="fontstyle31"/>
          <w:sz w:val="24"/>
          <w:szCs w:val="24"/>
        </w:rPr>
        <w:t>przedhiszpańskich</w:t>
      </w:r>
      <w:proofErr w:type="spellEnd"/>
      <w:r w:rsidRPr="00682FBC">
        <w:rPr>
          <w:rStyle w:val="fontstyle31"/>
          <w:sz w:val="24"/>
          <w:szCs w:val="24"/>
        </w:rPr>
        <w:t xml:space="preserve"> do współczesnych Indian. </w:t>
      </w:r>
    </w:p>
    <w:p w:rsidR="00F56CA0" w:rsidRDefault="00F56CA0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Style w:val="fontstyle31"/>
          <w:sz w:val="24"/>
          <w:szCs w:val="24"/>
        </w:rPr>
      </w:pPr>
      <w:r w:rsidRPr="00682FBC">
        <w:rPr>
          <w:rStyle w:val="fontstyle31"/>
          <w:sz w:val="24"/>
          <w:szCs w:val="24"/>
        </w:rPr>
        <w:t xml:space="preserve">Schody prowadzące na antresolę, ulokowane na klatce schodowej oraz przestrzeń antresoli będą miejscem prezentacji przedmiotów poświęconych Andom i dżungli amazońskiej wyszczególnionych w podziale tematycznym przestrzeni wystawy: Andy – od okresu </w:t>
      </w:r>
      <w:proofErr w:type="spellStart"/>
      <w:r w:rsidRPr="00682FBC">
        <w:rPr>
          <w:rStyle w:val="fontstyle31"/>
          <w:sz w:val="24"/>
          <w:szCs w:val="24"/>
        </w:rPr>
        <w:t>przedhiszpańskiego</w:t>
      </w:r>
      <w:proofErr w:type="spellEnd"/>
      <w:r w:rsidRPr="00682FBC">
        <w:rPr>
          <w:rStyle w:val="fontstyle31"/>
          <w:sz w:val="24"/>
          <w:szCs w:val="24"/>
        </w:rPr>
        <w:t xml:space="preserve"> do współczesnych Indian, Życie i śmierć w dżungli amazońskiej. </w:t>
      </w:r>
    </w:p>
    <w:p w:rsidR="00F56CA0" w:rsidRPr="00682FBC" w:rsidRDefault="00F56CA0" w:rsidP="00F56CA0">
      <w:pPr>
        <w:spacing w:line="360" w:lineRule="auto"/>
        <w:jc w:val="both"/>
        <w:rPr>
          <w:rStyle w:val="fontstyle31"/>
          <w:sz w:val="24"/>
          <w:szCs w:val="24"/>
        </w:rPr>
      </w:pPr>
      <w:r w:rsidRPr="00682FBC">
        <w:rPr>
          <w:rStyle w:val="fontstyle31"/>
          <w:sz w:val="24"/>
          <w:szCs w:val="24"/>
        </w:rPr>
        <w:t>Podział tematyczny przestrzeni wystawy</w:t>
      </w:r>
    </w:p>
    <w:p w:rsidR="00F56CA0" w:rsidRDefault="00F56CA0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F56CA0" w:rsidRDefault="00F56CA0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b/>
          <w:sz w:val="22"/>
        </w:rPr>
      </w:pPr>
      <w:r w:rsidRPr="00682FBC">
        <w:rPr>
          <w:rFonts w:asciiTheme="minorHAnsi" w:hAnsiTheme="minorHAnsi" w:cs="Tahoma"/>
          <w:b/>
          <w:sz w:val="22"/>
        </w:rPr>
        <w:t>PARTER I KLATKA SCHODOWA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I Na pograniczu kultur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1. „Od Turcji do Indii: Życie codzienne i wierzenia”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  <w:lang w:val="de-DE"/>
        </w:rPr>
      </w:pPr>
      <w:proofErr w:type="spellStart"/>
      <w:r w:rsidRPr="00682FBC">
        <w:rPr>
          <w:rFonts w:asciiTheme="minorHAnsi" w:hAnsiTheme="minorHAnsi" w:cs="Tahoma"/>
          <w:sz w:val="22"/>
          <w:lang w:val="de-DE"/>
        </w:rPr>
        <w:t>Obszar</w:t>
      </w:r>
      <w:proofErr w:type="spellEnd"/>
      <w:r w:rsidRPr="00682FBC">
        <w:rPr>
          <w:rFonts w:asciiTheme="minorHAnsi" w:hAnsiTheme="minorHAnsi" w:cs="Tahoma"/>
          <w:sz w:val="22"/>
          <w:lang w:val="de-DE"/>
        </w:rPr>
        <w:t xml:space="preserve"> </w:t>
      </w:r>
      <w:proofErr w:type="spellStart"/>
      <w:r w:rsidRPr="00682FBC">
        <w:rPr>
          <w:rFonts w:asciiTheme="minorHAnsi" w:hAnsiTheme="minorHAnsi" w:cs="Tahoma"/>
          <w:sz w:val="22"/>
          <w:lang w:val="de-DE"/>
        </w:rPr>
        <w:t>geograficzny</w:t>
      </w:r>
      <w:proofErr w:type="spellEnd"/>
      <w:r w:rsidRPr="00682FBC">
        <w:rPr>
          <w:rFonts w:asciiTheme="minorHAnsi" w:hAnsiTheme="minorHAnsi" w:cs="Tahoma"/>
          <w:sz w:val="22"/>
          <w:lang w:val="de-DE"/>
        </w:rPr>
        <w:t xml:space="preserve">: </w:t>
      </w:r>
      <w:proofErr w:type="spellStart"/>
      <w:r w:rsidRPr="00682FBC">
        <w:rPr>
          <w:rFonts w:asciiTheme="minorHAnsi" w:hAnsiTheme="minorHAnsi" w:cs="Tahoma"/>
          <w:sz w:val="22"/>
          <w:lang w:val="de-DE"/>
        </w:rPr>
        <w:t>Turcja</w:t>
      </w:r>
      <w:proofErr w:type="spellEnd"/>
      <w:r w:rsidRPr="00682FBC">
        <w:rPr>
          <w:rFonts w:asciiTheme="minorHAnsi" w:hAnsiTheme="minorHAnsi" w:cs="Tahoma"/>
          <w:sz w:val="22"/>
          <w:lang w:val="de-DE"/>
        </w:rPr>
        <w:t xml:space="preserve"> –Iran, Iran–</w:t>
      </w:r>
      <w:proofErr w:type="spellStart"/>
      <w:r w:rsidRPr="00682FBC">
        <w:rPr>
          <w:rFonts w:asciiTheme="minorHAnsi" w:hAnsiTheme="minorHAnsi" w:cs="Tahoma"/>
          <w:sz w:val="22"/>
          <w:lang w:val="de-DE"/>
        </w:rPr>
        <w:t>Afganistan</w:t>
      </w:r>
      <w:proofErr w:type="spellEnd"/>
      <w:r w:rsidRPr="00682FBC">
        <w:rPr>
          <w:rFonts w:asciiTheme="minorHAnsi" w:hAnsiTheme="minorHAnsi" w:cs="Tahoma"/>
          <w:sz w:val="22"/>
          <w:lang w:val="de-DE"/>
        </w:rPr>
        <w:t xml:space="preserve">, </w:t>
      </w:r>
      <w:proofErr w:type="spellStart"/>
      <w:r w:rsidRPr="00682FBC">
        <w:rPr>
          <w:rFonts w:asciiTheme="minorHAnsi" w:hAnsiTheme="minorHAnsi" w:cs="Tahoma"/>
          <w:sz w:val="22"/>
          <w:lang w:val="de-DE"/>
        </w:rPr>
        <w:t>Afganistan</w:t>
      </w:r>
      <w:proofErr w:type="spellEnd"/>
      <w:r w:rsidRPr="00682FBC">
        <w:rPr>
          <w:rFonts w:asciiTheme="minorHAnsi" w:hAnsiTheme="minorHAnsi" w:cs="Tahoma"/>
          <w:sz w:val="22"/>
          <w:lang w:val="de-DE"/>
        </w:rPr>
        <w:t>–Indie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Celem tej części wystawy jest ukazanie przenikania się wpływów pomiędzy poszczególnymi krajami od strefy europejskiej do azjatyckiej. Zostaną tutaj wyeksponowane stroje z pogranicza turecko-</w:t>
      </w:r>
      <w:r w:rsidRPr="00682FBC">
        <w:rPr>
          <w:rFonts w:asciiTheme="minorHAnsi" w:hAnsiTheme="minorHAnsi" w:cs="Tahoma"/>
          <w:sz w:val="22"/>
        </w:rPr>
        <w:lastRenderedPageBreak/>
        <w:t>­irańskiego, miniatury irańskie, irańskie i afgańskie instrumenty muzyczne, indyjskie stroje i biżuteria, gry, miniatury indyjskie, rzeźby bóstw hinduskich, różańce muzułmańskie, hinduskie i buddyjskie.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II Daleki Wschód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W przestrzeni wystawy odnoszącej się do Dalekiego Wschodu zostaną przedstawione obiekty z różnych krajów ukazujące wzajemne odziaływanie kultur z tego obszaru geograficznego. Widz będzie miał możliwość dokonania analizy porównawczej.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1.</w:t>
      </w:r>
      <w:r w:rsidRPr="00682FBC">
        <w:rPr>
          <w:rFonts w:asciiTheme="minorHAnsi" w:hAnsiTheme="minorHAnsi" w:cs="Tahoma"/>
          <w:sz w:val="22"/>
        </w:rPr>
        <w:tab/>
        <w:t>„Różne oblicza buddyzmu”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Obszar geograficzny: Wietnam, Birma, Mongolia, Chiny, Japonia.</w:t>
      </w:r>
    </w:p>
    <w:p w:rsidR="00725F02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 xml:space="preserve">W tej strefie wystawy będą eksponowane liczne wizerunki Buddy, a także postaci z buddyzmem związane w najróżniejszych formach – od przerażających masek tybetańskich po figurki uśmiechniętego Buddy. Ekspozycja będzie prezentować trzy tematy związane z postacią Buddy: część I: poruszy wątki związane z historyczną postacią </w:t>
      </w:r>
      <w:proofErr w:type="spellStart"/>
      <w:r w:rsidRPr="00682FBC">
        <w:rPr>
          <w:rFonts w:asciiTheme="minorHAnsi" w:hAnsiTheme="minorHAnsi" w:cs="Tahoma"/>
          <w:sz w:val="22"/>
        </w:rPr>
        <w:t>Sidhharty</w:t>
      </w:r>
      <w:proofErr w:type="spellEnd"/>
      <w:r w:rsidRPr="00682FBC">
        <w:rPr>
          <w:rFonts w:asciiTheme="minorHAnsi" w:hAnsiTheme="minorHAnsi" w:cs="Tahoma"/>
          <w:sz w:val="22"/>
        </w:rPr>
        <w:t xml:space="preserve"> Śakjamuniego, część II dotyczyć będzie różnych postaci Buddów, a część III rozmaitych dróg duchowych i religijnych buddyzmu. Ekspozycja ma uświadomić odbiorcy niejednorodność buddyzmu.</w:t>
      </w:r>
    </w:p>
    <w:p w:rsidR="00725F02" w:rsidRPr="00682FBC" w:rsidRDefault="00725F02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2.</w:t>
      </w:r>
      <w:r w:rsidRPr="00682FBC">
        <w:rPr>
          <w:rFonts w:asciiTheme="minorHAnsi" w:hAnsiTheme="minorHAnsi" w:cs="Tahoma"/>
          <w:sz w:val="22"/>
        </w:rPr>
        <w:tab/>
        <w:t>„Rzemiosło artystyczne”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Obszar geograficzny: Chiny, Wietnam, Japonia.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Celem tej części wystawy jest ukazanie tradycyjnego rzemiosła artystycznego łączącego w sobie użytkowość z wyrafinowanym poczuciem estetyki ludzi Dalekiego Wschodu. Zostaną tutaj wyeksponowane wyroby z kamienia, brązu, laki, ceramiki, emalii, wycinanki oraz wysokiej klasy zabytkowy chiński obraz malowany na szkle.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3. „Tradycyjny strój”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Obszar geograficzny: Chiny, Japonia, Korea.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W tej strefie wystawy odwiedzający będą mogli podziwiać różnorodność i bogactwo tradycyjnych strojów pochodzących z Chin (</w:t>
      </w:r>
      <w:proofErr w:type="spellStart"/>
      <w:r w:rsidRPr="00682FBC">
        <w:rPr>
          <w:rFonts w:asciiTheme="minorHAnsi" w:hAnsiTheme="minorHAnsi" w:cs="Tahoma"/>
          <w:sz w:val="22"/>
        </w:rPr>
        <w:t>hanfu</w:t>
      </w:r>
      <w:proofErr w:type="spellEnd"/>
      <w:r w:rsidRPr="00682FBC">
        <w:rPr>
          <w:rFonts w:asciiTheme="minorHAnsi" w:hAnsiTheme="minorHAnsi" w:cs="Tahoma"/>
          <w:sz w:val="22"/>
        </w:rPr>
        <w:t xml:space="preserve">, </w:t>
      </w:r>
      <w:proofErr w:type="spellStart"/>
      <w:r w:rsidRPr="00682FBC">
        <w:rPr>
          <w:rFonts w:asciiTheme="minorHAnsi" w:hAnsiTheme="minorHAnsi" w:cs="Tahoma"/>
          <w:sz w:val="22"/>
        </w:rPr>
        <w:t>qipao</w:t>
      </w:r>
      <w:proofErr w:type="spellEnd"/>
      <w:r w:rsidRPr="00682FBC">
        <w:rPr>
          <w:rFonts w:asciiTheme="minorHAnsi" w:hAnsiTheme="minorHAnsi" w:cs="Tahoma"/>
          <w:sz w:val="22"/>
        </w:rPr>
        <w:t>), Japonii (kimono) i Korei (</w:t>
      </w:r>
      <w:proofErr w:type="spellStart"/>
      <w:r w:rsidRPr="00682FBC">
        <w:rPr>
          <w:rFonts w:asciiTheme="minorHAnsi" w:hAnsiTheme="minorHAnsi" w:cs="Tahoma"/>
          <w:sz w:val="22"/>
        </w:rPr>
        <w:t>hanbok</w:t>
      </w:r>
      <w:proofErr w:type="spellEnd"/>
      <w:r w:rsidRPr="00682FBC">
        <w:rPr>
          <w:rFonts w:asciiTheme="minorHAnsi" w:hAnsiTheme="minorHAnsi" w:cs="Tahoma"/>
          <w:sz w:val="22"/>
        </w:rPr>
        <w:t>) stworzonych w różnych okresach. Zestawienie ich w jednej przestrzeni da możliwość porównania wzorów, krojów i stylistyki.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III Teatr i Taniec Azji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Obszar geograficzny: Chiny, Indonezja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lastRenderedPageBreak/>
        <w:t xml:space="preserve">W strefie poświęconej azjatyckiemu teatrowi i tańcowi widz będzie miał możliwość przyjrzenia się różnym formom teatralnym, takim jak teatr cieni, teatr tańca i opera chińska. Zaprezentowane zostaną marionetki, indonezyjski strój do tańca, strój z opery pekińskiej, model orkiestry </w:t>
      </w:r>
      <w:proofErr w:type="spellStart"/>
      <w:r w:rsidRPr="00682FBC">
        <w:rPr>
          <w:rFonts w:asciiTheme="minorHAnsi" w:hAnsiTheme="minorHAnsi" w:cs="Tahoma"/>
          <w:sz w:val="22"/>
        </w:rPr>
        <w:t>gamelanowej</w:t>
      </w:r>
      <w:proofErr w:type="spellEnd"/>
      <w:r w:rsidRPr="00682FBC">
        <w:rPr>
          <w:rFonts w:asciiTheme="minorHAnsi" w:hAnsiTheme="minorHAnsi" w:cs="Tahoma"/>
          <w:sz w:val="22"/>
        </w:rPr>
        <w:t>, wycinanki z postaciami z opery pekińskiej, maski z opery pekińskiej i syczuańskiej.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 xml:space="preserve">1. „Andy – od okresu </w:t>
      </w:r>
      <w:proofErr w:type="spellStart"/>
      <w:r w:rsidRPr="00682FBC">
        <w:rPr>
          <w:rFonts w:asciiTheme="minorHAnsi" w:hAnsiTheme="minorHAnsi" w:cs="Tahoma"/>
          <w:sz w:val="22"/>
        </w:rPr>
        <w:t>przedhiszpańskiego</w:t>
      </w:r>
      <w:proofErr w:type="spellEnd"/>
      <w:r w:rsidRPr="00682FBC">
        <w:rPr>
          <w:rFonts w:asciiTheme="minorHAnsi" w:hAnsiTheme="minorHAnsi" w:cs="Tahoma"/>
          <w:sz w:val="22"/>
        </w:rPr>
        <w:t xml:space="preserve"> do współczesnych Indian”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Obszar geograficzny: Andy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 xml:space="preserve">Celem tej części wystawy jest zapoznanie odbiorcy z historią cywilizacji andyjskich oraz ze współczesnym folklorem tego regionu. Zaprezentowane zostaną obiekty archeologiczne kultur Wari, </w:t>
      </w:r>
      <w:proofErr w:type="spellStart"/>
      <w:r w:rsidRPr="00682FBC">
        <w:rPr>
          <w:rFonts w:asciiTheme="minorHAnsi" w:hAnsiTheme="minorHAnsi" w:cs="Tahoma"/>
          <w:sz w:val="22"/>
        </w:rPr>
        <w:t>Mochica</w:t>
      </w:r>
      <w:proofErr w:type="spellEnd"/>
      <w:r w:rsidRPr="00682FBC">
        <w:rPr>
          <w:rFonts w:asciiTheme="minorHAnsi" w:hAnsiTheme="minorHAnsi" w:cs="Tahoma"/>
          <w:sz w:val="22"/>
        </w:rPr>
        <w:t xml:space="preserve"> oraz inkaskie. Będą to głównie przedmioty ceramiczne (w tym niezwykle cenne kubki </w:t>
      </w:r>
      <w:proofErr w:type="spellStart"/>
      <w:r w:rsidRPr="00682FBC">
        <w:rPr>
          <w:rFonts w:asciiTheme="minorHAnsi" w:hAnsiTheme="minorHAnsi" w:cs="Tahoma"/>
          <w:sz w:val="22"/>
        </w:rPr>
        <w:t>kero</w:t>
      </w:r>
      <w:proofErr w:type="spellEnd"/>
      <w:r w:rsidRPr="00682FBC">
        <w:rPr>
          <w:rFonts w:asciiTheme="minorHAnsi" w:hAnsiTheme="minorHAnsi" w:cs="Tahoma"/>
          <w:sz w:val="22"/>
        </w:rPr>
        <w:t>), a także broń kamienna, biżuteria i tkaniny. Ponadto wyeksponowane będą barwne stroje różnych grup etnicznych współcześnie zamieszkujących tereny Andów, przedmioty o tematyce religijnej, obiekty mające charakter kultowy i świąteczno-dekoracyjny, przedmioty użytku codziennego i obiekty agrarne.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b/>
          <w:sz w:val="22"/>
        </w:rPr>
      </w:pPr>
      <w:r w:rsidRPr="00682FBC">
        <w:rPr>
          <w:rFonts w:asciiTheme="minorHAnsi" w:hAnsiTheme="minorHAnsi" w:cs="Tahoma"/>
          <w:b/>
          <w:sz w:val="22"/>
        </w:rPr>
        <w:t>ANTRESOLA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IV. „Życie i śmierć w dżungli amazońskiej”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>Obszar geograficzny: Dżungla amazońska</w:t>
      </w:r>
    </w:p>
    <w:p w:rsidR="00F56CA0" w:rsidRPr="00682FBC" w:rsidRDefault="00F56CA0" w:rsidP="00F56CA0">
      <w:pPr>
        <w:spacing w:line="360" w:lineRule="auto"/>
        <w:jc w:val="both"/>
        <w:rPr>
          <w:rFonts w:asciiTheme="minorHAnsi" w:hAnsiTheme="minorHAnsi" w:cs="Tahoma"/>
          <w:sz w:val="22"/>
        </w:rPr>
      </w:pPr>
      <w:r w:rsidRPr="00682FBC">
        <w:rPr>
          <w:rFonts w:asciiTheme="minorHAnsi" w:hAnsiTheme="minorHAnsi" w:cs="Tahoma"/>
          <w:sz w:val="22"/>
        </w:rPr>
        <w:t xml:space="preserve">W tej części wystawy odbiorca zostanie przeniesiony w głąb dżungli amazońskiej, gdzie przedstawione będą obiekty różnych grup indiańskich m.in. </w:t>
      </w:r>
      <w:proofErr w:type="spellStart"/>
      <w:r w:rsidRPr="00682FBC">
        <w:rPr>
          <w:rFonts w:asciiTheme="minorHAnsi" w:hAnsiTheme="minorHAnsi" w:cs="Tahoma"/>
          <w:sz w:val="22"/>
        </w:rPr>
        <w:t>Karajá</w:t>
      </w:r>
      <w:proofErr w:type="spellEnd"/>
      <w:r w:rsidRPr="00682FBC">
        <w:rPr>
          <w:rFonts w:asciiTheme="minorHAnsi" w:hAnsiTheme="minorHAnsi" w:cs="Tahoma"/>
          <w:sz w:val="22"/>
        </w:rPr>
        <w:t xml:space="preserve">, </w:t>
      </w:r>
      <w:proofErr w:type="spellStart"/>
      <w:r w:rsidRPr="00682FBC">
        <w:rPr>
          <w:rFonts w:asciiTheme="minorHAnsi" w:hAnsiTheme="minorHAnsi" w:cs="Tahoma"/>
          <w:sz w:val="22"/>
        </w:rPr>
        <w:t>Bororo</w:t>
      </w:r>
      <w:proofErr w:type="spellEnd"/>
      <w:r w:rsidRPr="00682FBC">
        <w:rPr>
          <w:rFonts w:asciiTheme="minorHAnsi" w:hAnsiTheme="minorHAnsi" w:cs="Tahoma"/>
          <w:sz w:val="22"/>
        </w:rPr>
        <w:t xml:space="preserve">, </w:t>
      </w:r>
      <w:proofErr w:type="spellStart"/>
      <w:r w:rsidRPr="00682FBC">
        <w:rPr>
          <w:rFonts w:asciiTheme="minorHAnsi" w:hAnsiTheme="minorHAnsi" w:cs="Tahoma"/>
          <w:sz w:val="22"/>
        </w:rPr>
        <w:t>Cofán</w:t>
      </w:r>
      <w:proofErr w:type="spellEnd"/>
      <w:r w:rsidRPr="00682FBC">
        <w:rPr>
          <w:rFonts w:asciiTheme="minorHAnsi" w:hAnsiTheme="minorHAnsi" w:cs="Tahoma"/>
          <w:sz w:val="22"/>
        </w:rPr>
        <w:t xml:space="preserve">. Pokazane zostaną nie tylko ich przedmioty użytku codziennego wykorzystywane w rolnictwie i w czasie polowań, ale również niezwykle cenne pióropusze oraz przedmioty kultu (przede wszystkim preparowane głowy - </w:t>
      </w:r>
      <w:proofErr w:type="spellStart"/>
      <w:r w:rsidRPr="00682FBC">
        <w:rPr>
          <w:rFonts w:asciiTheme="minorHAnsi" w:hAnsiTheme="minorHAnsi" w:cs="Tahoma"/>
          <w:sz w:val="22"/>
        </w:rPr>
        <w:t>tsantsy</w:t>
      </w:r>
      <w:proofErr w:type="spellEnd"/>
      <w:r w:rsidRPr="00682FBC">
        <w:rPr>
          <w:rFonts w:asciiTheme="minorHAnsi" w:hAnsiTheme="minorHAnsi" w:cs="Tahoma"/>
          <w:sz w:val="22"/>
        </w:rPr>
        <w:t xml:space="preserve"> - Indian </w:t>
      </w:r>
      <w:proofErr w:type="spellStart"/>
      <w:r w:rsidRPr="00682FBC">
        <w:rPr>
          <w:rFonts w:asciiTheme="minorHAnsi" w:hAnsiTheme="minorHAnsi" w:cs="Tahoma"/>
          <w:sz w:val="22"/>
        </w:rPr>
        <w:t>Jivaro</w:t>
      </w:r>
      <w:proofErr w:type="spellEnd"/>
      <w:r w:rsidRPr="00682FBC">
        <w:rPr>
          <w:rFonts w:asciiTheme="minorHAnsi" w:hAnsiTheme="minorHAnsi" w:cs="Tahoma"/>
          <w:sz w:val="22"/>
        </w:rPr>
        <w:t>). Uzupełnieniem tej strefy będą materiały audiowizualne dotyczące niszczenia dżungli.</w:t>
      </w:r>
    </w:p>
    <w:p w:rsidR="00F56CA0" w:rsidRDefault="00F56CA0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F56CA0" w:rsidRDefault="00F56CA0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F56CA0" w:rsidRPr="001954AC" w:rsidRDefault="00F56CA0" w:rsidP="001954AC">
      <w:pPr>
        <w:spacing w:line="360" w:lineRule="auto"/>
        <w:jc w:val="both"/>
        <w:rPr>
          <w:rFonts w:ascii="Tahoma" w:hAnsi="Tahoma" w:cs="Tahoma"/>
          <w:sz w:val="22"/>
        </w:rPr>
      </w:pPr>
    </w:p>
    <w:p w:rsidR="000A28E8" w:rsidRDefault="000A28E8" w:rsidP="00F56CA0">
      <w:pPr>
        <w:spacing w:line="360" w:lineRule="auto"/>
        <w:jc w:val="both"/>
        <w:rPr>
          <w:rFonts w:asciiTheme="minorHAnsi" w:hAnsiTheme="minorHAnsi" w:cs="Tahoma"/>
          <w:b/>
        </w:rPr>
      </w:pP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  <w:b/>
        </w:rPr>
      </w:pPr>
      <w:r w:rsidRPr="001954AC">
        <w:rPr>
          <w:rFonts w:asciiTheme="minorHAnsi" w:hAnsiTheme="minorHAnsi" w:cs="Tahoma"/>
          <w:b/>
        </w:rPr>
        <w:t>Wystawa stała -  Afryka</w:t>
      </w:r>
    </w:p>
    <w:p w:rsidR="00F56CA0" w:rsidRDefault="00F56CA0" w:rsidP="00F56CA0">
      <w:pPr>
        <w:spacing w:line="360" w:lineRule="auto"/>
        <w:jc w:val="both"/>
        <w:rPr>
          <w:rFonts w:ascii="Tahoma" w:hAnsi="Tahoma" w:cs="Tahoma"/>
          <w:b/>
          <w:sz w:val="22"/>
          <w:szCs w:val="28"/>
        </w:rPr>
      </w:pPr>
    </w:p>
    <w:p w:rsidR="00F56CA0" w:rsidRPr="001954AC" w:rsidRDefault="001954AC" w:rsidP="001954AC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 tej części ekspozycji Z</w:t>
      </w:r>
      <w:r w:rsidR="002D6766" w:rsidRPr="001954AC">
        <w:rPr>
          <w:rFonts w:asciiTheme="minorHAnsi" w:hAnsiTheme="minorHAnsi" w:cs="Tahoma"/>
        </w:rPr>
        <w:t xml:space="preserve">wiedzających </w:t>
      </w:r>
      <w:r>
        <w:rPr>
          <w:rFonts w:asciiTheme="minorHAnsi" w:hAnsiTheme="minorHAnsi" w:cs="Tahoma"/>
        </w:rPr>
        <w:t xml:space="preserve">będą mogli zobaczyć instalację holograficzną w której ustawiony będzie zrekonstruowany tron i wyświetlane holograficznie  obok niego naturalnej wielkości postacie. 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lastRenderedPageBreak/>
        <w:t>Obok w masywnych przeszklonych gablotach publiczność będzie mogła obejrzeć zbiory broni.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 xml:space="preserve">Centralną część ekspozycji wypełni kopia Sali Tronowej z Pałacu w </w:t>
      </w:r>
      <w:proofErr w:type="spellStart"/>
      <w:r w:rsidRPr="001954AC">
        <w:rPr>
          <w:rFonts w:asciiTheme="minorHAnsi" w:hAnsiTheme="minorHAnsi" w:cs="Tahoma"/>
        </w:rPr>
        <w:t>Bamun</w:t>
      </w:r>
      <w:proofErr w:type="spellEnd"/>
      <w:r w:rsidR="00DC07A0" w:rsidRPr="001954AC">
        <w:rPr>
          <w:rFonts w:asciiTheme="minorHAnsi" w:hAnsiTheme="minorHAnsi" w:cs="Tahoma"/>
        </w:rPr>
        <w:t xml:space="preserve"> wraz z kopią jednego tronu królewskiego</w:t>
      </w:r>
      <w:r w:rsidR="00682FBC" w:rsidRPr="001954AC">
        <w:rPr>
          <w:rFonts w:asciiTheme="minorHAnsi" w:hAnsiTheme="minorHAnsi" w:cs="Tahoma"/>
        </w:rPr>
        <w:t xml:space="preserve">, </w:t>
      </w:r>
      <w:r w:rsidRPr="001954AC">
        <w:rPr>
          <w:rFonts w:asciiTheme="minorHAnsi" w:hAnsiTheme="minorHAnsi" w:cs="Tahoma"/>
        </w:rPr>
        <w:t>wiernie odwzorowane kolumny, sklepienie oraz posadzka. Po przeciwnej stronie umiejscowiona zostanie ściana masek rytualnych w liczbie 100- 150. Również w tej części Sali znajdzie stół inspirowany afrykańską stylistyką i materiałami. Stół będzie pełnił funkcje miejsca do odpoczynku, spotkań oraz warsztatów.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 xml:space="preserve">Kolejna część Sali </w:t>
      </w:r>
      <w:r w:rsidR="001954AC" w:rsidRPr="001954AC">
        <w:rPr>
          <w:rFonts w:asciiTheme="minorHAnsi" w:hAnsiTheme="minorHAnsi" w:cs="Tahoma"/>
        </w:rPr>
        <w:t>to</w:t>
      </w:r>
      <w:r w:rsidRPr="001954AC">
        <w:rPr>
          <w:rFonts w:asciiTheme="minorHAnsi" w:hAnsiTheme="minorHAnsi" w:cs="Tahoma"/>
        </w:rPr>
        <w:t xml:space="preserve"> labirynt zbudowany w przeszklonych gablot w których umieszczone będą najcenniejsze i najciekawsze obiekty z kolekcji PME. W labiryncie na obiekty skierowane będzie  światło punktowe.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>Najważnie</w:t>
      </w:r>
      <w:r w:rsidR="001954AC" w:rsidRPr="001954AC">
        <w:rPr>
          <w:rFonts w:asciiTheme="minorHAnsi" w:hAnsiTheme="minorHAnsi" w:cs="Tahoma"/>
        </w:rPr>
        <w:t>j</w:t>
      </w:r>
      <w:r w:rsidRPr="001954AC">
        <w:rPr>
          <w:rFonts w:asciiTheme="minorHAnsi" w:hAnsiTheme="minorHAnsi" w:cs="Tahoma"/>
        </w:rPr>
        <w:t xml:space="preserve">szym celem stworzenia wystawy stałej – Afryka  jest udostępnienie zwiedzającym bogatej kolekcji artefaktów obrazujących kultury i cywilizacje Afryki Subsaharyjskiej. Kolekcja ponad 10 tys. muzealiów o unikalnych walorach historycznych, artystycznych i edukacyjnych przez ostatnie lata była prezentowana tylko na wystawach czasowych. W tym czasie wzbogaciła się o wiele przekazów, darów oraz obiektów pozyskanych na miejscu w Afryce przez pracowników warszawskiego Muzeum. Na wyróżnienie zasługuje dokumentacja powstała w trakcie wypraw do Kamerunu. </w:t>
      </w:r>
      <w:r w:rsidR="00A3052C">
        <w:rPr>
          <w:rFonts w:asciiTheme="minorHAnsi" w:hAnsiTheme="minorHAnsi" w:cs="Tahoma"/>
        </w:rPr>
        <w:t xml:space="preserve"> </w:t>
      </w:r>
      <w:r w:rsidRPr="001954AC">
        <w:rPr>
          <w:rFonts w:asciiTheme="minorHAnsi" w:hAnsiTheme="minorHAnsi" w:cs="Tahoma"/>
        </w:rPr>
        <w:t xml:space="preserve"> </w:t>
      </w:r>
      <w:r w:rsidR="00A3052C">
        <w:rPr>
          <w:rFonts w:asciiTheme="minorHAnsi" w:hAnsiTheme="minorHAnsi" w:cs="Tahoma"/>
        </w:rPr>
        <w:t xml:space="preserve"> 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>Całość zbiorów afrykańskich PME liczy nieomal 12000 obiektów.</w:t>
      </w:r>
    </w:p>
    <w:p w:rsidR="00F56CA0" w:rsidRPr="001954AC" w:rsidRDefault="00F56CA0" w:rsidP="00F56CA0">
      <w:pPr>
        <w:pStyle w:val="Tekstpodstawowy2"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1954AC">
        <w:rPr>
          <w:rFonts w:asciiTheme="minorHAnsi" w:hAnsiTheme="minorHAnsi"/>
          <w:sz w:val="24"/>
          <w:szCs w:val="24"/>
        </w:rPr>
        <w:t>Najważniejszymi kolekcjami są: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 xml:space="preserve">- kolekcja kongijska licząca około 1500 obiektów. Składają się  na nią obiekty zakupione, bądź otrzymane w darze od </w:t>
      </w:r>
      <w:proofErr w:type="spellStart"/>
      <w:r w:rsidRPr="001954AC">
        <w:rPr>
          <w:rFonts w:asciiTheme="minorHAnsi" w:hAnsiTheme="minorHAnsi" w:cs="Tahoma"/>
        </w:rPr>
        <w:t>Klasaa</w:t>
      </w:r>
      <w:proofErr w:type="spellEnd"/>
      <w:r w:rsidRPr="001954AC">
        <w:rPr>
          <w:rFonts w:asciiTheme="minorHAnsi" w:hAnsiTheme="minorHAnsi" w:cs="Tahoma"/>
        </w:rPr>
        <w:t xml:space="preserve"> de </w:t>
      </w:r>
      <w:proofErr w:type="spellStart"/>
      <w:r w:rsidRPr="001954AC">
        <w:rPr>
          <w:rFonts w:asciiTheme="minorHAnsi" w:hAnsiTheme="minorHAnsi" w:cs="Tahoma"/>
        </w:rPr>
        <w:t>Jonge</w:t>
      </w:r>
      <w:proofErr w:type="spellEnd"/>
      <w:r w:rsidRPr="001954AC">
        <w:rPr>
          <w:rFonts w:asciiTheme="minorHAnsi" w:hAnsiTheme="minorHAnsi" w:cs="Tahoma"/>
        </w:rPr>
        <w:t>, Cypriana Kosińskiego oraz Krystyny Jankowskiej. Kolekcje te charakteryzują się dużą różnorodnością. Znajdują się wśród nich maski, fetysze, przedmioty użytku domowego oraz obiekty związane z epoką kolonializmu. Kolekcje zostały pozyskane w „terenie” co świadczy o ich wysokiej autentyczności.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 xml:space="preserve">- kolekcja Wacława </w:t>
      </w:r>
      <w:proofErr w:type="spellStart"/>
      <w:r w:rsidRPr="001954AC">
        <w:rPr>
          <w:rFonts w:asciiTheme="minorHAnsi" w:hAnsiTheme="minorHAnsi" w:cs="Tahoma"/>
        </w:rPr>
        <w:t>Korabiewicza</w:t>
      </w:r>
      <w:proofErr w:type="spellEnd"/>
      <w:r w:rsidRPr="001954AC">
        <w:rPr>
          <w:rFonts w:asciiTheme="minorHAnsi" w:hAnsiTheme="minorHAnsi" w:cs="Tahoma"/>
        </w:rPr>
        <w:t xml:space="preserve"> licząca około 1500 obiektów. Do najważniejszych elementów tego zbioru należy 29 masek </w:t>
      </w:r>
      <w:proofErr w:type="spellStart"/>
      <w:r w:rsidRPr="001954AC">
        <w:rPr>
          <w:rFonts w:asciiTheme="minorHAnsi" w:hAnsiTheme="minorHAnsi" w:cs="Tahoma"/>
        </w:rPr>
        <w:t>Mapiko</w:t>
      </w:r>
      <w:proofErr w:type="spellEnd"/>
      <w:r w:rsidRPr="001954AC">
        <w:rPr>
          <w:rFonts w:asciiTheme="minorHAnsi" w:hAnsiTheme="minorHAnsi" w:cs="Tahoma"/>
        </w:rPr>
        <w:t xml:space="preserve"> (lud </w:t>
      </w:r>
      <w:proofErr w:type="spellStart"/>
      <w:r w:rsidRPr="001954AC">
        <w:rPr>
          <w:rFonts w:asciiTheme="minorHAnsi" w:hAnsiTheme="minorHAnsi" w:cs="Tahoma"/>
        </w:rPr>
        <w:t>Makonde</w:t>
      </w:r>
      <w:proofErr w:type="spellEnd"/>
      <w:r w:rsidRPr="001954AC">
        <w:rPr>
          <w:rFonts w:asciiTheme="minorHAnsi" w:hAnsiTheme="minorHAnsi" w:cs="Tahoma"/>
        </w:rPr>
        <w:t>) pochodzących z lat 50. XX wieku.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>- kolekcja brązów z królestwa Beninu pochodząca ze zbiorów rodziny Bojarskich. Niektóre z obiektów są datowane na XVIII w. co czyni je jednymi z najstarszych w Polsce.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 xml:space="preserve">- kolekcja figurek bliźniąt </w:t>
      </w:r>
      <w:proofErr w:type="spellStart"/>
      <w:r w:rsidRPr="001954AC">
        <w:rPr>
          <w:rFonts w:asciiTheme="minorHAnsi" w:hAnsiTheme="minorHAnsi" w:cs="Tahoma"/>
        </w:rPr>
        <w:t>Ibeji</w:t>
      </w:r>
      <w:proofErr w:type="spellEnd"/>
      <w:r w:rsidRPr="001954AC">
        <w:rPr>
          <w:rFonts w:asciiTheme="minorHAnsi" w:hAnsiTheme="minorHAnsi" w:cs="Tahoma"/>
        </w:rPr>
        <w:t xml:space="preserve"> licząca 120 sztuk. Jest to jeden z najciekawszych i najbardziej efektownych kultów afrykańskich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>- kolekcja broni licząca 1200 obiektów.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lastRenderedPageBreak/>
        <w:t xml:space="preserve">- kolekcja </w:t>
      </w:r>
      <w:proofErr w:type="spellStart"/>
      <w:r w:rsidRPr="001954AC">
        <w:rPr>
          <w:rFonts w:asciiTheme="minorHAnsi" w:hAnsiTheme="minorHAnsi" w:cs="Tahoma"/>
        </w:rPr>
        <w:t>etiposka</w:t>
      </w:r>
      <w:proofErr w:type="spellEnd"/>
      <w:r w:rsidRPr="001954AC">
        <w:rPr>
          <w:rFonts w:asciiTheme="minorHAnsi" w:hAnsiTheme="minorHAnsi" w:cs="Tahoma"/>
        </w:rPr>
        <w:t xml:space="preserve"> licząca 500 obiektów. W jej </w:t>
      </w:r>
      <w:proofErr w:type="spellStart"/>
      <w:r w:rsidRPr="001954AC">
        <w:rPr>
          <w:rFonts w:asciiTheme="minorHAnsi" w:hAnsiTheme="minorHAnsi" w:cs="Tahoma"/>
        </w:rPr>
        <w:t>skłąd</w:t>
      </w:r>
      <w:proofErr w:type="spellEnd"/>
      <w:r w:rsidRPr="001954AC">
        <w:rPr>
          <w:rFonts w:asciiTheme="minorHAnsi" w:hAnsiTheme="minorHAnsi" w:cs="Tahoma"/>
        </w:rPr>
        <w:t xml:space="preserve"> wchodzą m.in. krzyże </w:t>
      </w:r>
      <w:proofErr w:type="spellStart"/>
      <w:r w:rsidRPr="001954AC">
        <w:rPr>
          <w:rFonts w:asciiTheme="minorHAnsi" w:hAnsiTheme="minorHAnsi" w:cs="Tahoma"/>
        </w:rPr>
        <w:t>pektoralne</w:t>
      </w:r>
      <w:proofErr w:type="spellEnd"/>
      <w:r w:rsidRPr="001954AC">
        <w:rPr>
          <w:rFonts w:asciiTheme="minorHAnsi" w:hAnsiTheme="minorHAnsi" w:cs="Tahoma"/>
        </w:rPr>
        <w:t xml:space="preserve"> i procesyjne zebrane przez Wacława </w:t>
      </w:r>
      <w:proofErr w:type="spellStart"/>
      <w:r w:rsidRPr="001954AC">
        <w:rPr>
          <w:rFonts w:asciiTheme="minorHAnsi" w:hAnsiTheme="minorHAnsi" w:cs="Tahoma"/>
        </w:rPr>
        <w:t>Korabiewicza</w:t>
      </w:r>
      <w:proofErr w:type="spellEnd"/>
      <w:r w:rsidRPr="001954AC">
        <w:rPr>
          <w:rFonts w:asciiTheme="minorHAnsi" w:hAnsiTheme="minorHAnsi" w:cs="Tahoma"/>
        </w:rPr>
        <w:t xml:space="preserve"> i prof. Stanisława Chojnackiego, manuskrypty oraz obrazy historyczne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 xml:space="preserve">- kolekcja obrazów </w:t>
      </w:r>
      <w:proofErr w:type="spellStart"/>
      <w:r w:rsidRPr="001954AC">
        <w:rPr>
          <w:rFonts w:asciiTheme="minorHAnsi" w:hAnsiTheme="minorHAnsi" w:cs="Tahoma"/>
        </w:rPr>
        <w:t>Tinga-tinga</w:t>
      </w:r>
      <w:proofErr w:type="spellEnd"/>
      <w:r w:rsidRPr="001954AC">
        <w:rPr>
          <w:rFonts w:asciiTheme="minorHAnsi" w:hAnsiTheme="minorHAnsi" w:cs="Tahoma"/>
        </w:rPr>
        <w:t xml:space="preserve"> pochodzących z Tanzanii zebranych przez Wacława </w:t>
      </w:r>
      <w:proofErr w:type="spellStart"/>
      <w:r w:rsidRPr="001954AC">
        <w:rPr>
          <w:rFonts w:asciiTheme="minorHAnsi" w:hAnsiTheme="minorHAnsi" w:cs="Tahoma"/>
        </w:rPr>
        <w:t>Korabiewicza</w:t>
      </w:r>
      <w:proofErr w:type="spellEnd"/>
      <w:r w:rsidRPr="001954AC">
        <w:rPr>
          <w:rFonts w:asciiTheme="minorHAnsi" w:hAnsiTheme="minorHAnsi" w:cs="Tahoma"/>
        </w:rPr>
        <w:t xml:space="preserve"> w latach 50. XX wieku.</w:t>
      </w:r>
    </w:p>
    <w:p w:rsidR="00F56CA0" w:rsidRPr="001954A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1954AC">
        <w:rPr>
          <w:rFonts w:asciiTheme="minorHAnsi" w:hAnsiTheme="minorHAnsi" w:cs="Tahoma"/>
        </w:rPr>
        <w:t>Ponadto w zbiorach PME znajdują się maski, fetysze biżuteria, ceramika z różnych regionów Afryki (także z północnej w tym obiekty berberyjskie i tuareskie)</w:t>
      </w:r>
    </w:p>
    <w:p w:rsidR="001954AC" w:rsidRPr="001954AC" w:rsidRDefault="001954AC" w:rsidP="00F56CA0">
      <w:pPr>
        <w:spacing w:line="360" w:lineRule="auto"/>
        <w:jc w:val="both"/>
        <w:rPr>
          <w:rFonts w:asciiTheme="minorHAnsi" w:hAnsiTheme="minorHAnsi" w:cs="Tahoma"/>
        </w:rPr>
      </w:pPr>
    </w:p>
    <w:p w:rsidR="00F56CA0" w:rsidRPr="003B04EC" w:rsidRDefault="00F56CA0" w:rsidP="00F56CA0">
      <w:pPr>
        <w:pStyle w:val="Nagwek4"/>
        <w:rPr>
          <w:rFonts w:asciiTheme="minorHAnsi" w:hAnsiTheme="minorHAnsi"/>
          <w:sz w:val="24"/>
          <w:szCs w:val="24"/>
        </w:rPr>
      </w:pPr>
      <w:r w:rsidRPr="003B04EC">
        <w:rPr>
          <w:rFonts w:asciiTheme="minorHAnsi" w:hAnsiTheme="minorHAnsi"/>
          <w:sz w:val="24"/>
          <w:szCs w:val="24"/>
        </w:rPr>
        <w:t xml:space="preserve">Australia 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 xml:space="preserve">Kolekcja australijska Państwowego Muzeum Etnograficznego w Warszawie ma wysokie walory historyczne, antropologiczne i artystyczne. Wartość kolekcji zgromadzonej w PME (nie wyłączając jej wartości na rynku sztuki) jako źródła dla międzynarodowych badań nad dziedzictwem kulturowym Aborygenów - ich sztuką, rzemiosłem, kolekcjonerstwem, historią muzealnictwa – jest bezcenna. 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 xml:space="preserve">Stworzenie nowej wystawy stałej pozwoli na udostępnienie odwiedzającym znacznej części kolekcji, która obecnie znajduje się w magazynach PME. Umożliwi ona pokazanie niezbywalnej wartości zbiorów australijskich, ze szczególnym zwróceniem uwagi na walory przekazu Maksymiliana Łukowicza (1858 – 1943), podróżnika, lekarza i etnografa, który w Australii przebywał w latach 1888 – 1921, gromadząc przedmioty z terytorium całego kontynentu, oraz cennej XIX-wiecznej kolekcji ze zbiorów Hermana </w:t>
      </w:r>
      <w:proofErr w:type="spellStart"/>
      <w:r w:rsidRPr="003B04EC">
        <w:rPr>
          <w:rFonts w:asciiTheme="minorHAnsi" w:hAnsiTheme="minorHAnsi" w:cs="Tahoma"/>
        </w:rPr>
        <w:t>Klaatscha</w:t>
      </w:r>
      <w:proofErr w:type="spellEnd"/>
      <w:r w:rsidRPr="003B04EC">
        <w:rPr>
          <w:rFonts w:asciiTheme="minorHAnsi" w:hAnsiTheme="minorHAnsi" w:cs="Tahoma"/>
        </w:rPr>
        <w:t xml:space="preserve"> – profesora antropologii (1907-1916) na Uniwersytecie we Wrocławiu, która od 1953 roku znajduje się w Warszawie.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>Kluczowe z punktu widzenia etnografa badającego Aborygenów jest odkrywanie zróżnicowania ich języków i kultur, duchowości opartej na relacji wobec świętej dla nich ziemi, opisywanie historii brutalnej kolonizacji, historii walki o prawa do ziemi, która wplątuje wątki artystyczne – historię powstawania dzieł na korze czy płótnie – w osnowę historii duchowej, kulturowej i politycznej. Celem jest zwrócenie uwagi na aborygeńską kulturę i związek duchowy, jaki istnieje między nimi a ich terytorium.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lastRenderedPageBreak/>
        <w:t>Wysokie sufity sali wystawienniczej zostaną wykorzystane tak, by odwiedzający różnymi zmysłami mogli doświadczyć czym jest sfera sacrum w kulturze australijskich ludów rdzennych. Zostaną przekazane kluczowe pojęcia, pozwalające zrozumieć historię i kulturę Aborygenów oraz prowadzące do ogólnej refleksji nad strefą sacrum w różnych społecznościach. Scenografia tej przestrzeni będzie integralną częścią doświadczenia widzów.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>Przestrzeń zostanie podzielona na 4 mniejsze „pokoje”, rozmieszczone wokół wydzielonego centralnego obszaru. W każdym narożniku pomieszczenia znajdzie się wnęka (o stosunkowo małym wejściu), która opisywać będzie jeden aspekt sacrum w sztuce i kulturze Aborygenów. Środkowy obszar pozostanie w ciemności, z wyjątkiem tekstów wyświetlanych na 2 płachtach tkaniny zwisających z sufitu: pierwsza zostanie zainstalowana przy wejściu do sali wystawienniczej, a druga obok przeciwległej ściany, tak aby goście znajdowali się pomiędzy dwiema tkaninami, stojąc w centrum sali. Projekcja pokaże słowa, pytania i cytaty dotyczące sacrum w kulturach ludzkich oraz odpowiednie nagrania filmowe.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>Pokój będzie ciemny, tak by ściany (pomalowane na czarno) zniknęły w ciemności. Dzięki temu  zwiedzający poczuje się nieco zdezorientowany, jak w czasie rytualnego doświadczen</w:t>
      </w:r>
      <w:r w:rsidR="008A3F0C">
        <w:rPr>
          <w:rFonts w:asciiTheme="minorHAnsi" w:hAnsiTheme="minorHAnsi" w:cs="Tahoma"/>
        </w:rPr>
        <w:t>i</w:t>
      </w:r>
      <w:r w:rsidRPr="003B04EC">
        <w:rPr>
          <w:rFonts w:asciiTheme="minorHAnsi" w:hAnsiTheme="minorHAnsi" w:cs="Tahoma"/>
        </w:rPr>
        <w:t>a. Celem nie jest naśladowanie kontekstu ceremonii rytualnej, ale stworzenie alternatywnego sposobu patrzenia na obiekty i sprawienie, by odwiedzjący „poczuł” ich wartość kulturową.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>W pierwszej wnęce zaprezentowane zostaną przedmioty rytualne (tarcze, wyrzutnie włóczni, tablice) ukazujące ikonografię sacrum. Jeśli będzie to możliwe, przedmioty zostaną zawieszone bezpośrednio na ścianie (bez szklanych gablot), a opisy (dostępne będą na poziomym stole wychodzącym ze ściany) wyjaśnią główne elementy religii Aborygenów, a także ikonografię rytualną zdobiącą obiekty. Pokazane zostaną również zdjęcia polskich kolekcjonerów oraz objaśniony zostanie kontekst kolonialny, w którym przedmioty trafiły do Europy.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 xml:space="preserve">Druga wnęka stanowić będzie minimalistyczny kontrast z pierwszą przestrzenią, ponieważ zaprezentowany będzie tam tylko jeden mały obraz akrylowy zwany „Jaskinia </w:t>
      </w:r>
      <w:proofErr w:type="spellStart"/>
      <w:r w:rsidRPr="003B04EC">
        <w:rPr>
          <w:rFonts w:asciiTheme="minorHAnsi" w:hAnsiTheme="minorHAnsi" w:cs="Tahoma"/>
        </w:rPr>
        <w:t>Wyinatajalpa</w:t>
      </w:r>
      <w:proofErr w:type="spellEnd"/>
      <w:r w:rsidRPr="003B04EC">
        <w:rPr>
          <w:rFonts w:asciiTheme="minorHAnsi" w:hAnsiTheme="minorHAnsi" w:cs="Tahoma"/>
        </w:rPr>
        <w:t xml:space="preserve">” </w:t>
      </w:r>
      <w:proofErr w:type="spellStart"/>
      <w:r w:rsidRPr="003B04EC">
        <w:rPr>
          <w:rFonts w:asciiTheme="minorHAnsi" w:hAnsiTheme="minorHAnsi" w:cs="Tahoma"/>
        </w:rPr>
        <w:t>Tommy’ego</w:t>
      </w:r>
      <w:proofErr w:type="spellEnd"/>
      <w:r w:rsidRPr="003B04EC">
        <w:rPr>
          <w:rFonts w:asciiTheme="minorHAnsi" w:hAnsiTheme="minorHAnsi" w:cs="Tahoma"/>
        </w:rPr>
        <w:t xml:space="preserve"> </w:t>
      </w:r>
      <w:proofErr w:type="spellStart"/>
      <w:r w:rsidRPr="003B04EC">
        <w:rPr>
          <w:rFonts w:asciiTheme="minorHAnsi" w:hAnsiTheme="minorHAnsi" w:cs="Tahoma"/>
        </w:rPr>
        <w:t>Jagamara</w:t>
      </w:r>
      <w:proofErr w:type="spellEnd"/>
      <w:r w:rsidRPr="003B04EC">
        <w:rPr>
          <w:rFonts w:asciiTheme="minorHAnsi" w:hAnsiTheme="minorHAnsi" w:cs="Tahoma"/>
        </w:rPr>
        <w:t xml:space="preserve">, będący w depozycie PME. Teksty wyjaśnią, iż obrazy akrylowe pojawiły </w:t>
      </w:r>
      <w:r w:rsidRPr="003B04EC">
        <w:rPr>
          <w:rFonts w:asciiTheme="minorHAnsi" w:hAnsiTheme="minorHAnsi" w:cs="Tahoma"/>
        </w:rPr>
        <w:lastRenderedPageBreak/>
        <w:t xml:space="preserve">się w 1970 roku jako ujawnienie częściowo tajnej wiedzy na temat mitycznego krajobrazu: są to rodzaje map, swoisty system naczyń połączonych między sobą totemicznymi opowieściami, które legitymizują i uzasadniają aborygeńskie prawa do terytorium. Różne wspólnoty zainspirowane artystycznym ruchem ludu </w:t>
      </w:r>
      <w:proofErr w:type="spellStart"/>
      <w:r w:rsidRPr="003B04EC">
        <w:rPr>
          <w:rFonts w:asciiTheme="minorHAnsi" w:hAnsiTheme="minorHAnsi" w:cs="Tahoma"/>
        </w:rPr>
        <w:t>Papunya</w:t>
      </w:r>
      <w:proofErr w:type="spellEnd"/>
      <w:r w:rsidRPr="003B04EC">
        <w:rPr>
          <w:rFonts w:asciiTheme="minorHAnsi" w:hAnsiTheme="minorHAnsi" w:cs="Tahoma"/>
        </w:rPr>
        <w:t xml:space="preserve"> w latach 70.,wykorzystywały ten nurt w sztuce specjalnie do obrony swojego odwiecznego prawa do ziemi. Powstał w ten sposób precedens procedur roszczeniowych wobec ziem, usankcjonowany prawnie przez Australię na podstawie aktów prawnych. Niektóre fragmenty archiwalne dotyczące tworzenia pierwszych obrazów w stylu </w:t>
      </w:r>
      <w:proofErr w:type="spellStart"/>
      <w:r w:rsidRPr="003B04EC">
        <w:rPr>
          <w:rFonts w:asciiTheme="minorHAnsi" w:hAnsiTheme="minorHAnsi" w:cs="Tahoma"/>
        </w:rPr>
        <w:t>Papunya</w:t>
      </w:r>
      <w:proofErr w:type="spellEnd"/>
      <w:r w:rsidRPr="003B04EC">
        <w:rPr>
          <w:rFonts w:asciiTheme="minorHAnsi" w:hAnsiTheme="minorHAnsi" w:cs="Tahoma"/>
        </w:rPr>
        <w:t xml:space="preserve"> będą również pokazywane na małym ekranie („wpuszczonym” w ścianę) w pobliżu wejścia do tej przestrzeni.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 xml:space="preserve">Trzecia przestrzeń odnosić się będzie do pojęcia rytuału, w którym sacrum manifestuje się w celu wykazania ciągłości istnienia społeczności, poczynając mitycznego przodka lub świętego miejsca. Na trzech ekranach otaczających odwiedzających pokazany zostanie film prezentujący kilka uroczystości ludu </w:t>
      </w:r>
      <w:proofErr w:type="spellStart"/>
      <w:r w:rsidRPr="003B04EC">
        <w:rPr>
          <w:rFonts w:asciiTheme="minorHAnsi" w:hAnsiTheme="minorHAnsi" w:cs="Tahoma"/>
        </w:rPr>
        <w:t>Yolngu</w:t>
      </w:r>
      <w:proofErr w:type="spellEnd"/>
      <w:r w:rsidRPr="003B04EC">
        <w:rPr>
          <w:rFonts w:asciiTheme="minorHAnsi" w:hAnsiTheme="minorHAnsi" w:cs="Tahoma"/>
        </w:rPr>
        <w:t>. Ceremonie zostały sfilmowane na przestrzeni 30 lat z udziałem tych samych osób, rejestrując w ten sposób ciągłość i zmiany zachodzące w rytuałach. Każdy ekran mógłby pokazać ceremonię z innego okresu.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 xml:space="preserve">W czwartej przestrzeni wyświetlane będzie na ścianie nagranie </w:t>
      </w:r>
      <w:proofErr w:type="spellStart"/>
      <w:r w:rsidRPr="003B04EC">
        <w:rPr>
          <w:rFonts w:asciiTheme="minorHAnsi" w:hAnsiTheme="minorHAnsi" w:cs="Tahoma"/>
        </w:rPr>
        <w:t>Yazida</w:t>
      </w:r>
      <w:proofErr w:type="spellEnd"/>
      <w:r w:rsidRPr="003B04EC">
        <w:rPr>
          <w:rFonts w:asciiTheme="minorHAnsi" w:hAnsiTheme="minorHAnsi" w:cs="Tahoma"/>
        </w:rPr>
        <w:t xml:space="preserve"> </w:t>
      </w:r>
      <w:proofErr w:type="spellStart"/>
      <w:r w:rsidRPr="003B04EC">
        <w:rPr>
          <w:rFonts w:asciiTheme="minorHAnsi" w:hAnsiTheme="minorHAnsi" w:cs="Tahoma"/>
        </w:rPr>
        <w:t>Oulaba</w:t>
      </w:r>
      <w:proofErr w:type="spellEnd"/>
      <w:r w:rsidRPr="003B04EC">
        <w:rPr>
          <w:rFonts w:asciiTheme="minorHAnsi" w:hAnsiTheme="minorHAnsi" w:cs="Tahoma"/>
        </w:rPr>
        <w:t>, ukazujące uniwersalny wyraz sacrum, wykraczający poza różnice kulturowe.</w:t>
      </w:r>
    </w:p>
    <w:p w:rsidR="00F56CA0" w:rsidRPr="003B04EC" w:rsidRDefault="00F56CA0" w:rsidP="00F56CA0">
      <w:pPr>
        <w:pStyle w:val="Nagwek5"/>
        <w:rPr>
          <w:rFonts w:asciiTheme="minorHAnsi" w:hAnsiTheme="minorHAnsi"/>
        </w:rPr>
      </w:pPr>
    </w:p>
    <w:p w:rsidR="00725F02" w:rsidRDefault="00725F02" w:rsidP="00F56CA0">
      <w:pPr>
        <w:pStyle w:val="Nagwek5"/>
        <w:rPr>
          <w:rFonts w:asciiTheme="minorHAnsi" w:hAnsiTheme="minorHAnsi"/>
        </w:rPr>
      </w:pPr>
    </w:p>
    <w:p w:rsidR="00725F02" w:rsidRDefault="00725F02" w:rsidP="00F56CA0">
      <w:pPr>
        <w:pStyle w:val="Nagwek5"/>
        <w:rPr>
          <w:rFonts w:asciiTheme="minorHAnsi" w:hAnsiTheme="minorHAnsi"/>
        </w:rPr>
      </w:pPr>
    </w:p>
    <w:p w:rsidR="00F56CA0" w:rsidRPr="003B04EC" w:rsidRDefault="00F56CA0" w:rsidP="00F56CA0">
      <w:pPr>
        <w:pStyle w:val="Nagwek5"/>
        <w:rPr>
          <w:rFonts w:asciiTheme="minorHAnsi" w:hAnsiTheme="minorHAnsi"/>
        </w:rPr>
      </w:pPr>
      <w:r w:rsidRPr="003B04EC">
        <w:rPr>
          <w:rFonts w:asciiTheme="minorHAnsi" w:hAnsiTheme="minorHAnsi"/>
        </w:rPr>
        <w:t xml:space="preserve">Oceania </w:t>
      </w:r>
    </w:p>
    <w:p w:rsidR="00F56CA0" w:rsidRPr="003B04EC" w:rsidRDefault="00F56CA0" w:rsidP="00F56CA0">
      <w:pPr>
        <w:spacing w:line="360" w:lineRule="auto"/>
        <w:jc w:val="both"/>
        <w:rPr>
          <w:rFonts w:asciiTheme="minorHAnsi" w:hAnsiTheme="minorHAnsi" w:cs="Tahoma"/>
        </w:rPr>
      </w:pPr>
      <w:r w:rsidRPr="003B04EC">
        <w:rPr>
          <w:rFonts w:asciiTheme="minorHAnsi" w:hAnsiTheme="minorHAnsi" w:cs="Tahoma"/>
        </w:rPr>
        <w:t xml:space="preserve">W drugiej sali wystawienniczej zaprezentowana zostanie część kolekcji oceanicznej Państwowego Muzeum Etnograficznego, w której najliczniejsze są artefakty pochodzące z Melanezji, w tym: unikalne okazy dzid wojennych, bogato zdobionych strzał, grotów, tarcz wojennych, maczug i mieczy wykonanych z zębów rekina lub ryby-piły), maski obrzędowe i rzeźby czy ozdoby ciała (bransolety z muszli, plecione naramienniki, naszyjniki z muszli i nasion, ceremonialne napierśniki z szabli dzikiej świni). Pokazany zostanie także zespół polinezyjski, który oprócz broni zawiera bogatą kolekcję </w:t>
      </w:r>
      <w:proofErr w:type="spellStart"/>
      <w:r w:rsidRPr="003B04EC">
        <w:rPr>
          <w:rFonts w:asciiTheme="minorHAnsi" w:hAnsiTheme="minorHAnsi" w:cs="Tahoma"/>
        </w:rPr>
        <w:t>tap</w:t>
      </w:r>
      <w:proofErr w:type="spellEnd"/>
      <w:r w:rsidRPr="003B04EC">
        <w:rPr>
          <w:rFonts w:asciiTheme="minorHAnsi" w:hAnsiTheme="minorHAnsi" w:cs="Tahoma"/>
        </w:rPr>
        <w:t xml:space="preserve"> (tradycyjnej tkaniny wykonanej z łyka </w:t>
      </w:r>
      <w:r w:rsidRPr="003B04EC">
        <w:rPr>
          <w:rFonts w:asciiTheme="minorHAnsi" w:hAnsiTheme="minorHAnsi" w:cs="Tahoma"/>
        </w:rPr>
        <w:lastRenderedPageBreak/>
        <w:t xml:space="preserve">drzewnego) i mat, mis do sporządzania rytualnego napoju </w:t>
      </w:r>
      <w:proofErr w:type="spellStart"/>
      <w:r w:rsidRPr="003B04EC">
        <w:rPr>
          <w:rFonts w:asciiTheme="minorHAnsi" w:hAnsiTheme="minorHAnsi" w:cs="Tahoma"/>
          <w:i/>
        </w:rPr>
        <w:t>kava</w:t>
      </w:r>
      <w:proofErr w:type="spellEnd"/>
      <w:r w:rsidRPr="003B04EC">
        <w:rPr>
          <w:rFonts w:asciiTheme="minorHAnsi" w:hAnsiTheme="minorHAnsi" w:cs="Tahoma"/>
        </w:rPr>
        <w:t xml:space="preserve"> oraz instrumentów muzycznych. Na wystawie znajdą się również obiekty z Mikronezji, Hawajów, Fidżi, Samoa i Wyspy Wielkanocnej, a także część kolekcji współczesnych obiektów z Papui Nowej Gwinei, stworzonej przez panię Marię </w:t>
      </w:r>
      <w:proofErr w:type="spellStart"/>
      <w:r w:rsidRPr="003B04EC">
        <w:rPr>
          <w:rFonts w:asciiTheme="minorHAnsi" w:hAnsiTheme="minorHAnsi" w:cs="Tahoma"/>
        </w:rPr>
        <w:t>Wrońską-Friend</w:t>
      </w:r>
      <w:proofErr w:type="spellEnd"/>
      <w:r w:rsidRPr="003B04EC">
        <w:rPr>
          <w:rFonts w:asciiTheme="minorHAnsi" w:hAnsiTheme="minorHAnsi" w:cs="Tahoma"/>
        </w:rPr>
        <w:t>, która zawiera przykłady tradycyjnej technologii z obszarów wyspy do tej pory nie reprezentowanych w zbiorach PME. Wystawę uzupełnią zdjęcia archiwalne oraz wykonane współcześnie.</w:t>
      </w:r>
    </w:p>
    <w:p w:rsidR="000D176F" w:rsidRDefault="000D176F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725F02" w:rsidRDefault="00725F02" w:rsidP="00725F02">
      <w:pPr>
        <w:spacing w:line="360" w:lineRule="auto"/>
        <w:rPr>
          <w:rStyle w:val="fontstyle01"/>
          <w:sz w:val="24"/>
          <w:szCs w:val="24"/>
        </w:rPr>
      </w:pPr>
    </w:p>
    <w:p w:rsidR="00725F02" w:rsidRDefault="00725F02" w:rsidP="00725F02">
      <w:pPr>
        <w:spacing w:line="360" w:lineRule="auto"/>
        <w:ind w:right="-142"/>
      </w:pPr>
      <w:r w:rsidRPr="00725F02">
        <w:rPr>
          <w:rStyle w:val="fontstyle01"/>
          <w:sz w:val="24"/>
          <w:szCs w:val="24"/>
        </w:rPr>
        <w:t>Ścieżki zwiedzania</w:t>
      </w:r>
      <w:r>
        <w:rPr>
          <w:rStyle w:val="fontstyle01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br/>
      </w:r>
      <w:r>
        <w:rPr>
          <w:rStyle w:val="fontstyle11"/>
        </w:rPr>
        <w:t xml:space="preserve">- </w:t>
      </w:r>
      <w:r w:rsidRPr="00725F02">
        <w:rPr>
          <w:rFonts w:asciiTheme="minorHAnsi" w:hAnsiTheme="minorHAnsi" w:cs="Tahoma"/>
        </w:rPr>
        <w:t xml:space="preserve">ścieżka dla indywidualnych turystów z uwzględnieniem turystów zagranicznych  </w:t>
      </w:r>
      <w:r w:rsidRPr="00725F02">
        <w:rPr>
          <w:rFonts w:asciiTheme="minorHAnsi" w:hAnsiTheme="minorHAnsi" w:cs="Tahoma"/>
        </w:rPr>
        <w:br/>
        <w:t xml:space="preserve">- ścieżka dla zorganizowanych grup  (wycieczki, grupy szkolne) </w:t>
      </w:r>
      <w:r w:rsidRPr="00725F02">
        <w:rPr>
          <w:rFonts w:asciiTheme="minorHAnsi" w:hAnsiTheme="minorHAnsi" w:cs="Tahoma"/>
        </w:rPr>
        <w:br/>
        <w:t>- ścieżka dla niepełnosprawnych na wózkach   (stanowiska przystosowane do użytkowania przez osoby na wózkach)</w:t>
      </w:r>
      <w:r w:rsidRPr="00725F02">
        <w:rPr>
          <w:rFonts w:asciiTheme="minorHAnsi" w:hAnsiTheme="minorHAnsi" w:cs="Tahoma"/>
        </w:rPr>
        <w:br/>
        <w:t>- ścieżka dla niepełnosprawnych wzrokowo (wybrane stanowiska umożliwiające</w:t>
      </w:r>
      <w:r>
        <w:rPr>
          <w:rFonts w:asciiTheme="minorHAnsi" w:hAnsiTheme="minorHAnsi" w:cs="Tahoma"/>
        </w:rPr>
        <w:t xml:space="preserve"> </w:t>
      </w:r>
      <w:r w:rsidRPr="00725F02">
        <w:rPr>
          <w:rFonts w:asciiTheme="minorHAnsi" w:hAnsiTheme="minorHAnsi" w:cs="Tahoma"/>
        </w:rPr>
        <w:t>użytkowanie)</w:t>
      </w:r>
      <w:r w:rsidRPr="00725F02">
        <w:rPr>
          <w:rFonts w:asciiTheme="minorHAnsi" w:hAnsiTheme="minorHAnsi" w:cs="Tahoma"/>
        </w:rPr>
        <w:br/>
        <w:t>- ścieżka dla niepełnosprawnych słuchowo (wybrane stanowiska umożliwiające użytkowanie).</w:t>
      </w:r>
      <w:r w:rsidRPr="00725F02">
        <w:rPr>
          <w:rFonts w:asciiTheme="minorHAnsi" w:hAnsiTheme="minorHAnsi" w:cs="Tahoma"/>
        </w:rPr>
        <w:br/>
        <w:t>W przypadku ekspozytorów  multimedialnych prezentujących filmy z narracją lub dźwiękiem</w:t>
      </w:r>
      <w:r w:rsidRPr="00725F02">
        <w:rPr>
          <w:rFonts w:asciiTheme="minorHAnsi" w:hAnsiTheme="minorHAnsi" w:cs="Tahoma"/>
        </w:rPr>
        <w:br/>
        <w:t>przewidywane jest dodanie możliwości włączenia napisów ekranowych. Dla osób indywidualnych</w:t>
      </w:r>
      <w:r>
        <w:rPr>
          <w:rFonts w:asciiTheme="minorHAnsi" w:hAnsiTheme="minorHAnsi" w:cs="Tahoma"/>
        </w:rPr>
        <w:t xml:space="preserve"> </w:t>
      </w:r>
      <w:r w:rsidRPr="00725F02">
        <w:rPr>
          <w:rFonts w:asciiTheme="minorHAnsi" w:hAnsiTheme="minorHAnsi" w:cs="Tahoma"/>
        </w:rPr>
        <w:t>dostępna jest większa swoboda poruszania się, jak też możliwość zwiedzania poza wyznaczonymi</w:t>
      </w:r>
      <w:r>
        <w:rPr>
          <w:rFonts w:asciiTheme="minorHAnsi" w:hAnsiTheme="minorHAnsi" w:cs="Tahoma"/>
        </w:rPr>
        <w:t xml:space="preserve"> </w:t>
      </w:r>
      <w:r w:rsidRPr="00725F02">
        <w:rPr>
          <w:rFonts w:asciiTheme="minorHAnsi" w:hAnsiTheme="minorHAnsi" w:cs="Tahoma"/>
        </w:rPr>
        <w:t>godzinami wejść kolejnych grup. Ścieżka zwiedzania dla gości indywidualnych może pokrywać się</w:t>
      </w:r>
      <w:r>
        <w:rPr>
          <w:rFonts w:asciiTheme="minorHAnsi" w:hAnsiTheme="minorHAnsi" w:cs="Tahoma"/>
        </w:rPr>
        <w:t xml:space="preserve"> </w:t>
      </w:r>
      <w:r w:rsidRPr="00725F02">
        <w:rPr>
          <w:rFonts w:asciiTheme="minorHAnsi" w:hAnsiTheme="minorHAnsi" w:cs="Tahoma"/>
        </w:rPr>
        <w:t>z podstawową drogą wskazaną strzałkami ale wystawa może być zwiedzana według innego klucza np.:</w:t>
      </w:r>
      <w:r>
        <w:rPr>
          <w:rFonts w:asciiTheme="minorHAnsi" w:hAnsiTheme="minorHAnsi" w:cs="Tahoma"/>
        </w:rPr>
        <w:t xml:space="preserve"> </w:t>
      </w:r>
      <w:r w:rsidRPr="00725F02">
        <w:rPr>
          <w:rFonts w:asciiTheme="minorHAnsi" w:hAnsiTheme="minorHAnsi" w:cs="Tahoma"/>
        </w:rPr>
        <w:t>stref czasowych lub wybranych eksponatów.</w:t>
      </w:r>
      <w:r w:rsidRPr="00725F02">
        <w:rPr>
          <w:rFonts w:asciiTheme="minorHAnsi" w:hAnsiTheme="minorHAnsi" w:cs="Tahoma"/>
        </w:rPr>
        <w:br/>
        <w:t>Konieczne jest zastosowanie nowoczesnych rozwiązań dla niedosłyszących (pętla indukcyjna) oraz</w:t>
      </w:r>
      <w:r>
        <w:rPr>
          <w:rFonts w:asciiTheme="minorHAnsi" w:hAnsiTheme="minorHAnsi" w:cs="Tahoma"/>
        </w:rPr>
        <w:t xml:space="preserve"> </w:t>
      </w:r>
      <w:r w:rsidRPr="00725F02">
        <w:rPr>
          <w:rFonts w:asciiTheme="minorHAnsi" w:hAnsiTheme="minorHAnsi" w:cs="Tahoma"/>
        </w:rPr>
        <w:t xml:space="preserve">niedowidzących (modele 3d niektórych obiektów, druk powiększony i </w:t>
      </w:r>
      <w:r>
        <w:rPr>
          <w:rFonts w:asciiTheme="minorHAnsi" w:hAnsiTheme="minorHAnsi" w:cs="Tahoma"/>
        </w:rPr>
        <w:t xml:space="preserve">stanowiska z umieszczoną </w:t>
      </w:r>
      <w:proofErr w:type="spellStart"/>
      <w:r>
        <w:rPr>
          <w:rFonts w:asciiTheme="minorHAnsi" w:hAnsiTheme="minorHAnsi" w:cs="Tahoma"/>
        </w:rPr>
        <w:t>tyflografiką</w:t>
      </w:r>
      <w:proofErr w:type="spellEnd"/>
      <w:r>
        <w:rPr>
          <w:rFonts w:asciiTheme="minorHAnsi" w:hAnsiTheme="minorHAnsi" w:cs="Tahoma"/>
        </w:rPr>
        <w:t xml:space="preserve"> </w:t>
      </w:r>
      <w:r w:rsidRPr="00725F02">
        <w:rPr>
          <w:rFonts w:asciiTheme="minorHAnsi" w:hAnsiTheme="minorHAnsi" w:cs="Tahoma"/>
        </w:rPr>
        <w:t>).</w:t>
      </w:r>
      <w:r w:rsidRPr="00725F02">
        <w:rPr>
          <w:rFonts w:asciiTheme="minorHAnsi" w:hAnsiTheme="minorHAnsi" w:cs="Tahoma"/>
        </w:rPr>
        <w:br/>
      </w:r>
      <w:r>
        <w:rPr>
          <w:rFonts w:asciiTheme="minorHAnsi" w:hAnsiTheme="minorHAnsi" w:cs="Tahoma"/>
        </w:rPr>
        <w:t xml:space="preserve"> </w:t>
      </w:r>
    </w:p>
    <w:p w:rsidR="00B9027B" w:rsidRDefault="00B9027B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E844F8" w:rsidRDefault="00E844F8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B9027B" w:rsidRDefault="00B9027B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sectPr w:rsidR="00B90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5A" w:rsidRDefault="004D315A" w:rsidP="003B04EC">
      <w:r>
        <w:separator/>
      </w:r>
    </w:p>
  </w:endnote>
  <w:endnote w:type="continuationSeparator" w:id="0">
    <w:p w:rsidR="004D315A" w:rsidRDefault="004D315A" w:rsidP="003B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4C" w:rsidRDefault="00D53E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6315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027B" w:rsidRDefault="00B9027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B8B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B9027B" w:rsidRDefault="00B902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4C" w:rsidRDefault="00D53E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5A" w:rsidRDefault="004D315A" w:rsidP="003B04EC">
      <w:r>
        <w:separator/>
      </w:r>
    </w:p>
  </w:footnote>
  <w:footnote w:type="continuationSeparator" w:id="0">
    <w:p w:rsidR="004D315A" w:rsidRDefault="004D315A" w:rsidP="003B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4C" w:rsidRDefault="00D53E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4C" w:rsidRDefault="00D53E4C" w:rsidP="00EB639C">
    <w:pPr>
      <w:pStyle w:val="Nagwek"/>
      <w:jc w:val="center"/>
    </w:pPr>
    <w:r w:rsidRPr="006C2595">
      <w:rPr>
        <w:noProof/>
      </w:rPr>
      <w:drawing>
        <wp:inline distT="0" distB="0" distL="0" distR="0" wp14:anchorId="424B74A8" wp14:editId="63C72E04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E4C" w:rsidRDefault="00D53E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4C" w:rsidRDefault="00D53E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40E"/>
    <w:multiLevelType w:val="hybridMultilevel"/>
    <w:tmpl w:val="DCAC3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E86"/>
    <w:multiLevelType w:val="hybridMultilevel"/>
    <w:tmpl w:val="75665C10"/>
    <w:lvl w:ilvl="0" w:tplc="E7B0F2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670BE9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3031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F280F"/>
    <w:multiLevelType w:val="hybridMultilevel"/>
    <w:tmpl w:val="1D105A76"/>
    <w:lvl w:ilvl="0" w:tplc="577A3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12308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1184"/>
    <w:multiLevelType w:val="hybridMultilevel"/>
    <w:tmpl w:val="75665C10"/>
    <w:lvl w:ilvl="0" w:tplc="E7B0F2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B41E6E"/>
    <w:multiLevelType w:val="hybridMultilevel"/>
    <w:tmpl w:val="1FC07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C345E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471DD"/>
    <w:multiLevelType w:val="hybridMultilevel"/>
    <w:tmpl w:val="0394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A6325"/>
    <w:multiLevelType w:val="hybridMultilevel"/>
    <w:tmpl w:val="99862A04"/>
    <w:lvl w:ilvl="0" w:tplc="DCF4078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F281068"/>
    <w:multiLevelType w:val="hybridMultilevel"/>
    <w:tmpl w:val="98149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265EA"/>
    <w:multiLevelType w:val="hybridMultilevel"/>
    <w:tmpl w:val="2826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47430"/>
    <w:multiLevelType w:val="hybridMultilevel"/>
    <w:tmpl w:val="DF263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A7494"/>
    <w:multiLevelType w:val="hybridMultilevel"/>
    <w:tmpl w:val="6032EF7C"/>
    <w:lvl w:ilvl="0" w:tplc="EC38D3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ED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6C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29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E0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29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41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8F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32F15"/>
    <w:multiLevelType w:val="hybridMultilevel"/>
    <w:tmpl w:val="023E8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A643D"/>
    <w:multiLevelType w:val="hybridMultilevel"/>
    <w:tmpl w:val="891A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5290B"/>
    <w:multiLevelType w:val="hybridMultilevel"/>
    <w:tmpl w:val="AA76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223DC"/>
    <w:multiLevelType w:val="hybridMultilevel"/>
    <w:tmpl w:val="C6DECABC"/>
    <w:lvl w:ilvl="0" w:tplc="1A686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47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421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46D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A0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CB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66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4C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A7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2C17D8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A5B19"/>
    <w:multiLevelType w:val="hybridMultilevel"/>
    <w:tmpl w:val="10223D82"/>
    <w:lvl w:ilvl="0" w:tplc="2E42F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33B18"/>
    <w:multiLevelType w:val="multilevel"/>
    <w:tmpl w:val="822A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FD4A52"/>
    <w:multiLevelType w:val="hybridMultilevel"/>
    <w:tmpl w:val="CABA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6083C"/>
    <w:multiLevelType w:val="hybridMultilevel"/>
    <w:tmpl w:val="1EFC2EF6"/>
    <w:lvl w:ilvl="0" w:tplc="F55C6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AE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84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8C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62F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63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27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8E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21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6726C4"/>
    <w:multiLevelType w:val="hybridMultilevel"/>
    <w:tmpl w:val="ED5C6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14"/>
    <w:lvlOverride w:ilvl="0">
      <w:lvl w:ilvl="0" w:tplc="EC38D3E4">
        <w:numFmt w:val="decimal"/>
        <w:lvlText w:val="%1."/>
        <w:lvlJc w:val="left"/>
      </w:lvl>
    </w:lvlOverride>
  </w:num>
  <w:num w:numId="5">
    <w:abstractNumId w:val="24"/>
  </w:num>
  <w:num w:numId="6">
    <w:abstractNumId w:val="4"/>
  </w:num>
  <w:num w:numId="7">
    <w:abstractNumId w:val="7"/>
  </w:num>
  <w:num w:numId="8">
    <w:abstractNumId w:val="20"/>
  </w:num>
  <w:num w:numId="9">
    <w:abstractNumId w:val="6"/>
  </w:num>
  <w:num w:numId="10">
    <w:abstractNumId w:val="11"/>
  </w:num>
  <w:num w:numId="11">
    <w:abstractNumId w:val="0"/>
  </w:num>
  <w:num w:numId="12">
    <w:abstractNumId w:val="21"/>
  </w:num>
  <w:num w:numId="13">
    <w:abstractNumId w:val="17"/>
  </w:num>
  <w:num w:numId="14">
    <w:abstractNumId w:val="16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1"/>
  </w:num>
  <w:num w:numId="20">
    <w:abstractNumId w:val="3"/>
  </w:num>
  <w:num w:numId="21">
    <w:abstractNumId w:val="8"/>
  </w:num>
  <w:num w:numId="22">
    <w:abstractNumId w:val="19"/>
  </w:num>
  <w:num w:numId="23">
    <w:abstractNumId w:val="15"/>
  </w:num>
  <w:num w:numId="24">
    <w:abstractNumId w:val="13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A0"/>
    <w:rsid w:val="00023689"/>
    <w:rsid w:val="000267A3"/>
    <w:rsid w:val="00042F3B"/>
    <w:rsid w:val="00047EB4"/>
    <w:rsid w:val="0007310F"/>
    <w:rsid w:val="0009505D"/>
    <w:rsid w:val="00096313"/>
    <w:rsid w:val="000A28E8"/>
    <w:rsid w:val="000D176F"/>
    <w:rsid w:val="000F0029"/>
    <w:rsid w:val="00100975"/>
    <w:rsid w:val="00104D80"/>
    <w:rsid w:val="001320FD"/>
    <w:rsid w:val="00134A97"/>
    <w:rsid w:val="0014101E"/>
    <w:rsid w:val="00177E8B"/>
    <w:rsid w:val="00193051"/>
    <w:rsid w:val="001954AC"/>
    <w:rsid w:val="001B15EC"/>
    <w:rsid w:val="001C734D"/>
    <w:rsid w:val="002423A0"/>
    <w:rsid w:val="00264DA6"/>
    <w:rsid w:val="002D6766"/>
    <w:rsid w:val="00301F47"/>
    <w:rsid w:val="0031147D"/>
    <w:rsid w:val="00341015"/>
    <w:rsid w:val="0035394E"/>
    <w:rsid w:val="003B04EC"/>
    <w:rsid w:val="003B3845"/>
    <w:rsid w:val="003C7FF7"/>
    <w:rsid w:val="003D0F5A"/>
    <w:rsid w:val="003D381D"/>
    <w:rsid w:val="003D75BB"/>
    <w:rsid w:val="003E0043"/>
    <w:rsid w:val="004306BD"/>
    <w:rsid w:val="00430720"/>
    <w:rsid w:val="00430880"/>
    <w:rsid w:val="00434792"/>
    <w:rsid w:val="0047098E"/>
    <w:rsid w:val="00473130"/>
    <w:rsid w:val="0047744E"/>
    <w:rsid w:val="00487DDF"/>
    <w:rsid w:val="004B197D"/>
    <w:rsid w:val="004C30C5"/>
    <w:rsid w:val="004D315A"/>
    <w:rsid w:val="004E0A38"/>
    <w:rsid w:val="004E15BD"/>
    <w:rsid w:val="004E2257"/>
    <w:rsid w:val="00520A3E"/>
    <w:rsid w:val="005324E6"/>
    <w:rsid w:val="00562F6E"/>
    <w:rsid w:val="0058317A"/>
    <w:rsid w:val="005E62C2"/>
    <w:rsid w:val="005E69F9"/>
    <w:rsid w:val="00607977"/>
    <w:rsid w:val="006217E0"/>
    <w:rsid w:val="0063201A"/>
    <w:rsid w:val="00641474"/>
    <w:rsid w:val="006442F4"/>
    <w:rsid w:val="00654792"/>
    <w:rsid w:val="00682FBC"/>
    <w:rsid w:val="006861B3"/>
    <w:rsid w:val="006F43C0"/>
    <w:rsid w:val="006F77B1"/>
    <w:rsid w:val="007072CE"/>
    <w:rsid w:val="00716135"/>
    <w:rsid w:val="00716ED7"/>
    <w:rsid w:val="00725F02"/>
    <w:rsid w:val="00756C48"/>
    <w:rsid w:val="0077561B"/>
    <w:rsid w:val="00787AD0"/>
    <w:rsid w:val="00796C8E"/>
    <w:rsid w:val="007B644D"/>
    <w:rsid w:val="007F1BFA"/>
    <w:rsid w:val="00892BEE"/>
    <w:rsid w:val="00893A4E"/>
    <w:rsid w:val="008A3F0C"/>
    <w:rsid w:val="008B4356"/>
    <w:rsid w:val="00935958"/>
    <w:rsid w:val="00950C24"/>
    <w:rsid w:val="009510F8"/>
    <w:rsid w:val="009738A1"/>
    <w:rsid w:val="00985F2D"/>
    <w:rsid w:val="009A1CC7"/>
    <w:rsid w:val="009A5869"/>
    <w:rsid w:val="009F0C1E"/>
    <w:rsid w:val="009F4B8B"/>
    <w:rsid w:val="00A0573D"/>
    <w:rsid w:val="00A17FAE"/>
    <w:rsid w:val="00A3052C"/>
    <w:rsid w:val="00A37899"/>
    <w:rsid w:val="00A82CAD"/>
    <w:rsid w:val="00AC309A"/>
    <w:rsid w:val="00AD6B92"/>
    <w:rsid w:val="00B15E26"/>
    <w:rsid w:val="00B319C4"/>
    <w:rsid w:val="00B52A58"/>
    <w:rsid w:val="00B600BD"/>
    <w:rsid w:val="00B82B27"/>
    <w:rsid w:val="00B9027B"/>
    <w:rsid w:val="00BD2DF4"/>
    <w:rsid w:val="00C71B4B"/>
    <w:rsid w:val="00CF42F6"/>
    <w:rsid w:val="00D50B1D"/>
    <w:rsid w:val="00D53E4C"/>
    <w:rsid w:val="00D60488"/>
    <w:rsid w:val="00D81982"/>
    <w:rsid w:val="00D85C29"/>
    <w:rsid w:val="00DC07A0"/>
    <w:rsid w:val="00DD6C94"/>
    <w:rsid w:val="00DE71E1"/>
    <w:rsid w:val="00DF25D9"/>
    <w:rsid w:val="00E2373C"/>
    <w:rsid w:val="00E328FB"/>
    <w:rsid w:val="00E367BF"/>
    <w:rsid w:val="00E53EA5"/>
    <w:rsid w:val="00E66BF1"/>
    <w:rsid w:val="00E844F8"/>
    <w:rsid w:val="00E93BCD"/>
    <w:rsid w:val="00EB0479"/>
    <w:rsid w:val="00EB639C"/>
    <w:rsid w:val="00EF0B37"/>
    <w:rsid w:val="00F01438"/>
    <w:rsid w:val="00F05DA7"/>
    <w:rsid w:val="00F267E7"/>
    <w:rsid w:val="00F42710"/>
    <w:rsid w:val="00F56CA0"/>
    <w:rsid w:val="00F5745E"/>
    <w:rsid w:val="00F632EF"/>
    <w:rsid w:val="00FA6273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BE5D3-4691-47B0-A7D5-9B49C30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56CA0"/>
    <w:pPr>
      <w:keepNext/>
      <w:autoSpaceDE w:val="0"/>
      <w:autoSpaceDN w:val="0"/>
      <w:adjustRightInd w:val="0"/>
      <w:spacing w:line="360" w:lineRule="auto"/>
      <w:jc w:val="both"/>
      <w:outlineLvl w:val="3"/>
    </w:pPr>
    <w:rPr>
      <w:rFonts w:ascii="Tahoma" w:hAnsi="Tahoma" w:cs="Tahoma"/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F56CA0"/>
    <w:pPr>
      <w:keepNext/>
      <w:spacing w:line="360" w:lineRule="auto"/>
      <w:jc w:val="both"/>
      <w:outlineLvl w:val="4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56CA0"/>
    <w:rPr>
      <w:rFonts w:ascii="Tahoma" w:eastAsia="Times New Roman" w:hAnsi="Tahoma" w:cs="Tahoma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F56CA0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F56C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semiHidden/>
    <w:rsid w:val="00F56CA0"/>
    <w:pPr>
      <w:autoSpaceDE w:val="0"/>
      <w:autoSpaceDN w:val="0"/>
      <w:adjustRightInd w:val="0"/>
      <w:jc w:val="both"/>
    </w:pPr>
    <w:rPr>
      <w:rFonts w:ascii="Tahoma" w:hAnsi="Tahoma" w:cs="Tahoma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6CA0"/>
    <w:rPr>
      <w:rFonts w:ascii="Tahoma" w:eastAsia="Times New Roman" w:hAnsi="Tahoma" w:cs="Tahoma"/>
      <w:lang w:eastAsia="pl-PL"/>
    </w:rPr>
  </w:style>
  <w:style w:type="paragraph" w:styleId="Tekstpodstawowy3">
    <w:name w:val="Body Text 3"/>
    <w:basedOn w:val="Normalny"/>
    <w:link w:val="Tekstpodstawowy3Znak"/>
    <w:semiHidden/>
    <w:rsid w:val="00F56CA0"/>
    <w:pPr>
      <w:autoSpaceDE w:val="0"/>
      <w:autoSpaceDN w:val="0"/>
      <w:adjustRightInd w:val="0"/>
      <w:jc w:val="both"/>
    </w:pPr>
    <w:rPr>
      <w:rFonts w:ascii="Tahoma" w:hAnsi="Tahoma" w:cs="Tahoma"/>
      <w:color w:val="FF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6CA0"/>
    <w:rPr>
      <w:rFonts w:ascii="Tahoma" w:eastAsia="Times New Roman" w:hAnsi="Tahoma" w:cs="Tahoma"/>
      <w:color w:val="FF0000"/>
      <w:lang w:eastAsia="pl-PL"/>
    </w:rPr>
  </w:style>
  <w:style w:type="paragraph" w:customStyle="1" w:styleId="Akapitzlist1">
    <w:name w:val="Akapit z listą1"/>
    <w:aliases w:val="Numerowanie,Akapit z listą BS,Kolorowa lista — akcent 11,sw tekst"/>
    <w:basedOn w:val="Normalny"/>
    <w:rsid w:val="00F56CA0"/>
    <w:pPr>
      <w:spacing w:line="360" w:lineRule="auto"/>
      <w:ind w:left="720"/>
      <w:jc w:val="both"/>
    </w:pPr>
    <w:rPr>
      <w:rFonts w:ascii="Cambria" w:hAnsi="Cambria"/>
    </w:rPr>
  </w:style>
  <w:style w:type="character" w:customStyle="1" w:styleId="lato-normal">
    <w:name w:val="lato-normal"/>
    <w:basedOn w:val="Domylnaczcionkaakapitu"/>
    <w:rsid w:val="000D176F"/>
  </w:style>
  <w:style w:type="paragraph" w:styleId="Akapitzlist">
    <w:name w:val="List Paragraph"/>
    <w:basedOn w:val="Normalny"/>
    <w:uiPriority w:val="34"/>
    <w:qFormat/>
    <w:rsid w:val="003B3845"/>
    <w:pPr>
      <w:ind w:left="720"/>
      <w:contextualSpacing/>
    </w:pPr>
  </w:style>
  <w:style w:type="character" w:customStyle="1" w:styleId="fontstyle01">
    <w:name w:val="fontstyle01"/>
    <w:basedOn w:val="Domylnaczcionkaakapitu"/>
    <w:rsid w:val="003B3845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omylnaczcionkaakapitu"/>
    <w:rsid w:val="003B3845"/>
    <w:rPr>
      <w:rFonts w:ascii="Courier" w:hAnsi="Courie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3B384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4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4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4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5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F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5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F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style21"/>
    <w:basedOn w:val="Domylnaczcionkaakapitu"/>
    <w:rsid w:val="00AC309A"/>
    <w:rPr>
      <w:rFonts w:ascii="Symbol" w:hAnsi="Symbol" w:hint="default"/>
      <w:b w:val="0"/>
      <w:bCs w:val="0"/>
      <w:i w:val="0"/>
      <w:iCs w:val="0"/>
      <w:color w:val="33333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09A"/>
    <w:rPr>
      <w:rFonts w:ascii="Arial Narrow" w:hAnsi="Arial Narrow" w:cs="Arial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09A"/>
    <w:pPr>
      <w:autoSpaceDE w:val="0"/>
      <w:autoSpaceDN w:val="0"/>
      <w:adjustRightInd w:val="0"/>
      <w:jc w:val="both"/>
    </w:pPr>
    <w:rPr>
      <w:rFonts w:ascii="Arial Narrow" w:eastAsiaTheme="minorHAnsi" w:hAnsi="Arial Narrow" w:cs="Arial"/>
      <w:color w:val="000000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09A"/>
    <w:rPr>
      <w:rFonts w:ascii="Arial Narrow" w:hAnsi="Arial Narrow" w:cs="Arial"/>
      <w:b/>
      <w:bCs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09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09A"/>
    <w:rPr>
      <w:rFonts w:ascii="Segoe UI" w:hAnsi="Segoe UI" w:cs="Segoe UI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09A"/>
    <w:pPr>
      <w:autoSpaceDE w:val="0"/>
      <w:autoSpaceDN w:val="0"/>
      <w:adjustRightInd w:val="0"/>
      <w:jc w:val="both"/>
    </w:pPr>
    <w:rPr>
      <w:rFonts w:ascii="Segoe UI" w:eastAsiaTheme="minorHAnsi" w:hAnsi="Segoe UI" w:cs="Segoe UI"/>
      <w:color w:val="000000"/>
      <w:sz w:val="18"/>
      <w:szCs w:val="18"/>
      <w:lang w:eastAsia="en-US"/>
    </w:rPr>
  </w:style>
  <w:style w:type="character" w:customStyle="1" w:styleId="colour">
    <w:name w:val="colour"/>
    <w:basedOn w:val="Domylnaczcionkaakapitu"/>
    <w:rsid w:val="00430720"/>
  </w:style>
  <w:style w:type="character" w:customStyle="1" w:styleId="font">
    <w:name w:val="font"/>
    <w:basedOn w:val="Domylnaczcionkaakapitu"/>
    <w:rsid w:val="00430720"/>
  </w:style>
  <w:style w:type="character" w:customStyle="1" w:styleId="highlight">
    <w:name w:val="highlight"/>
    <w:basedOn w:val="Domylnaczcionkaakapitu"/>
    <w:rsid w:val="0031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3682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Gielo</dc:creator>
  <cp:keywords/>
  <dc:description/>
  <cp:lastModifiedBy>Slawomir Jasinski</cp:lastModifiedBy>
  <cp:revision>10</cp:revision>
  <cp:lastPrinted>2019-03-13T21:37:00Z</cp:lastPrinted>
  <dcterms:created xsi:type="dcterms:W3CDTF">2019-03-26T21:46:00Z</dcterms:created>
  <dcterms:modified xsi:type="dcterms:W3CDTF">2019-03-27T13:33:00Z</dcterms:modified>
</cp:coreProperties>
</file>