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E4F1" w14:textId="0A2C1F51" w:rsidR="00427306" w:rsidRPr="000212FA" w:rsidRDefault="00427306" w:rsidP="00427306">
      <w:pPr>
        <w:ind w:left="4956" w:firstLine="708"/>
        <w:jc w:val="center"/>
        <w:rPr>
          <w:rFonts w:ascii="Calibri" w:hAnsi="Calibri" w:cs="Calibri"/>
          <w:bCs/>
          <w:i/>
          <w:sz w:val="20"/>
          <w:szCs w:val="20"/>
        </w:rPr>
      </w:pPr>
      <w:r>
        <w:rPr>
          <w:rFonts w:ascii="Calibri" w:hAnsi="Calibri"/>
          <w:i/>
          <w:sz w:val="20"/>
        </w:rPr>
        <w:t>annex No. 4 to the invitation</w:t>
      </w:r>
    </w:p>
    <w:p w14:paraId="1D72A05F" w14:textId="53A42349" w:rsidR="00427306" w:rsidRPr="00183169" w:rsidRDefault="00427306" w:rsidP="00427306">
      <w:pPr>
        <w:suppressAutoHyphens/>
        <w:spacing w:before="120" w:after="120"/>
        <w:ind w:left="709" w:right="-567" w:hanging="709"/>
        <w:rPr>
          <w:rStyle w:val="tekstdokbold"/>
          <w:rFonts w:ascii="Calibri" w:hAnsi="Calibri" w:cs="Calibri"/>
        </w:rPr>
      </w:pPr>
      <w:r>
        <w:rPr>
          <w:rStyle w:val="tekstdokbold"/>
          <w:rFonts w:ascii="Calibri" w:hAnsi="Calibri"/>
          <w:sz w:val="20"/>
        </w:rPr>
        <w:t>Personal data protection</w:t>
      </w:r>
    </w:p>
    <w:p w14:paraId="517F257E" w14:textId="3631FB5A"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1.</w:t>
      </w:r>
      <w:r>
        <w:rPr>
          <w:rFonts w:ascii="Calibri" w:hAnsi="Calibri"/>
          <w:i/>
          <w:sz w:val="20"/>
        </w:rPr>
        <w:tab/>
      </w:r>
      <w:r>
        <w:rPr>
          <w:rFonts w:ascii="Calibri" w:hAnsi="Calibri"/>
          <w:i/>
          <w:sz w:val="20"/>
        </w:rPr>
        <w:tab/>
      </w:r>
      <w:r>
        <w:rPr>
          <w:rFonts w:ascii="Calibri" w:hAnsi="Calibri"/>
          <w:sz w:val="20"/>
        </w:rPr>
        <w:t xml:space="preserve">The controller of your personal data processed in connection with the public procurement procedure is the National Centre for Nuclear Research (hereinafter referred to as the Controller or the National Centre) with its registered office in Otwock, ul. Andrzeja Sołtana, 05-400 Otwock. </w:t>
      </w:r>
    </w:p>
    <w:p w14:paraId="15CE2978" w14:textId="69C16F75"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2.</w:t>
      </w:r>
      <w:r>
        <w:rPr>
          <w:rFonts w:ascii="Calibri" w:hAnsi="Calibri"/>
          <w:sz w:val="20"/>
        </w:rPr>
        <w:tab/>
        <w:t xml:space="preserve">If you have any questions concerning the manner and scope of the processing of your personal data, or your rights, you may contact the Data Protection Officer at the National Centre, at the address given above or by e-mail at </w:t>
      </w:r>
      <w:hyperlink r:id="rId8" w:history="1">
        <w:r>
          <w:rPr>
            <w:rStyle w:val="Hipercze"/>
            <w:rFonts w:ascii="Calibri" w:hAnsi="Calibri"/>
            <w:sz w:val="20"/>
          </w:rPr>
          <w:t>iod@ncbj.gov.pl</w:t>
        </w:r>
      </w:hyperlink>
      <w:r>
        <w:rPr>
          <w:rFonts w:ascii="Calibri" w:hAnsi="Calibri"/>
          <w:sz w:val="20"/>
        </w:rPr>
        <w:t xml:space="preserve"> or at tel. 22 273 22 31.</w:t>
      </w:r>
    </w:p>
    <w:p w14:paraId="21199A24" w14:textId="0EBDB8A5"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 xml:space="preserve">3. </w:t>
      </w:r>
      <w:r>
        <w:rPr>
          <w:rFonts w:ascii="Calibri" w:hAnsi="Calibri"/>
          <w:sz w:val="20"/>
        </w:rPr>
        <w:tab/>
        <w:t xml:space="preserve">The personal data controller processes your personal data on the basis of applicable legal provisions, i.e. in particular: </w:t>
      </w:r>
    </w:p>
    <w:p w14:paraId="6E3B1DBC" w14:textId="77777777" w:rsidR="00427306" w:rsidRPr="00183169" w:rsidRDefault="00427306" w:rsidP="00427306">
      <w:pPr>
        <w:autoSpaceDE w:val="0"/>
        <w:autoSpaceDN w:val="0"/>
        <w:adjustRightInd w:val="0"/>
        <w:spacing w:before="120" w:after="120"/>
        <w:ind w:left="705" w:hanging="279"/>
        <w:jc w:val="both"/>
        <w:rPr>
          <w:rFonts w:ascii="Calibri" w:hAnsi="Calibri" w:cs="Calibri"/>
          <w:iCs/>
          <w:sz w:val="20"/>
          <w:szCs w:val="20"/>
        </w:rPr>
      </w:pPr>
      <w:r>
        <w:rPr>
          <w:rFonts w:ascii="Calibri" w:hAnsi="Calibri"/>
          <w:sz w:val="20"/>
        </w:rPr>
        <w:t>1)</w:t>
      </w:r>
      <w:r>
        <w:rPr>
          <w:rFonts w:ascii="Calibri" w:hAnsi="Calibri"/>
          <w:sz w:val="20"/>
        </w:rPr>
        <w:tab/>
        <w:t>the Act of 11 September 2019 the Public Procurement Law and executive acts to this act, including on the types of documents that the Contracting Authority may demand from the contractor</w:t>
      </w:r>
    </w:p>
    <w:p w14:paraId="6CF09A26" w14:textId="77777777" w:rsidR="00427306" w:rsidRPr="00183169" w:rsidRDefault="00427306" w:rsidP="00427306">
      <w:pPr>
        <w:autoSpaceDE w:val="0"/>
        <w:autoSpaceDN w:val="0"/>
        <w:adjustRightInd w:val="0"/>
        <w:spacing w:before="120" w:after="120"/>
        <w:ind w:left="705" w:hanging="279"/>
        <w:jc w:val="both"/>
        <w:rPr>
          <w:rFonts w:ascii="Calibri" w:hAnsi="Calibri" w:cs="Calibri"/>
          <w:iCs/>
          <w:sz w:val="20"/>
          <w:szCs w:val="20"/>
        </w:rPr>
      </w:pPr>
      <w:r>
        <w:rPr>
          <w:rFonts w:ascii="Calibri" w:hAnsi="Calibri"/>
          <w:sz w:val="20"/>
        </w:rPr>
        <w:t>2)</w:t>
      </w:r>
      <w:r>
        <w:rPr>
          <w:rFonts w:ascii="Calibri" w:hAnsi="Calibri"/>
          <w:sz w:val="20"/>
        </w:rPr>
        <w:tab/>
        <w:t xml:space="preserve">the Act of 14 July 1983 on the national archival resource and archives </w:t>
      </w:r>
    </w:p>
    <w:p w14:paraId="44F35419" w14:textId="0B32D4D1" w:rsidR="00427306" w:rsidRPr="00183169" w:rsidRDefault="00427306" w:rsidP="00427306">
      <w:pPr>
        <w:autoSpaceDE w:val="0"/>
        <w:autoSpaceDN w:val="0"/>
        <w:adjustRightInd w:val="0"/>
        <w:spacing w:before="120" w:after="120"/>
        <w:jc w:val="both"/>
        <w:rPr>
          <w:rFonts w:ascii="Calibri" w:hAnsi="Calibri" w:cs="Calibri"/>
          <w:i/>
          <w:iCs/>
          <w:color w:val="365F91"/>
          <w:sz w:val="20"/>
          <w:szCs w:val="20"/>
        </w:rPr>
      </w:pPr>
      <w:r>
        <w:rPr>
          <w:rFonts w:ascii="Calibri" w:hAnsi="Calibri"/>
          <w:sz w:val="20"/>
        </w:rPr>
        <w:t xml:space="preserve">4. Your personal data is processed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27306" w14:paraId="313E9699" w14:textId="77777777" w:rsidTr="003B257F">
        <w:tc>
          <w:tcPr>
            <w:tcW w:w="4531" w:type="dxa"/>
            <w:shd w:val="clear" w:color="auto" w:fill="auto"/>
          </w:tcPr>
          <w:p w14:paraId="45EE20BE" w14:textId="77777777" w:rsidR="00427306" w:rsidRPr="00D877A0" w:rsidRDefault="00427306" w:rsidP="003B257F">
            <w:pPr>
              <w:autoSpaceDE w:val="0"/>
              <w:autoSpaceDN w:val="0"/>
              <w:adjustRightInd w:val="0"/>
              <w:spacing w:before="120" w:after="120"/>
              <w:ind w:left="705" w:hanging="705"/>
              <w:jc w:val="both"/>
              <w:rPr>
                <w:rFonts w:ascii="Calibri" w:hAnsi="Calibri" w:cs="Calibri"/>
                <w:b/>
                <w:iCs/>
                <w:sz w:val="20"/>
                <w:szCs w:val="20"/>
              </w:rPr>
            </w:pPr>
            <w:r>
              <w:rPr>
                <w:rFonts w:ascii="Calibri" w:hAnsi="Calibri"/>
                <w:b/>
                <w:sz w:val="20"/>
              </w:rPr>
              <w:t>Purpose of processing</w:t>
            </w:r>
          </w:p>
        </w:tc>
        <w:tc>
          <w:tcPr>
            <w:tcW w:w="4531" w:type="dxa"/>
            <w:shd w:val="clear" w:color="auto" w:fill="auto"/>
          </w:tcPr>
          <w:p w14:paraId="5B6AF4CF" w14:textId="77777777" w:rsidR="00427306" w:rsidRPr="00D877A0" w:rsidRDefault="00427306" w:rsidP="003B257F">
            <w:pPr>
              <w:autoSpaceDE w:val="0"/>
              <w:autoSpaceDN w:val="0"/>
              <w:adjustRightInd w:val="0"/>
              <w:spacing w:before="120" w:after="120"/>
              <w:ind w:left="705" w:hanging="705"/>
              <w:jc w:val="both"/>
              <w:rPr>
                <w:rFonts w:ascii="Calibri" w:hAnsi="Calibri" w:cs="Calibri"/>
                <w:b/>
                <w:iCs/>
                <w:sz w:val="20"/>
                <w:szCs w:val="20"/>
              </w:rPr>
            </w:pPr>
            <w:r>
              <w:rPr>
                <w:rFonts w:ascii="Calibri" w:hAnsi="Calibri"/>
                <w:b/>
                <w:sz w:val="20"/>
              </w:rPr>
              <w:t>Legal basis for processing</w:t>
            </w:r>
          </w:p>
        </w:tc>
      </w:tr>
      <w:tr w:rsidR="00427306" w14:paraId="78D15FB7" w14:textId="77777777" w:rsidTr="003B257F">
        <w:tc>
          <w:tcPr>
            <w:tcW w:w="4531" w:type="dxa"/>
            <w:shd w:val="clear" w:color="auto" w:fill="auto"/>
          </w:tcPr>
          <w:p w14:paraId="4924268D"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Conducting public procurement proceedings</w:t>
            </w:r>
          </w:p>
        </w:tc>
        <w:tc>
          <w:tcPr>
            <w:tcW w:w="4531" w:type="dxa"/>
            <w:shd w:val="clear" w:color="auto" w:fill="auto"/>
          </w:tcPr>
          <w:p w14:paraId="0AE7C731"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the necessity of the processing for compliance with a legal obligation to which the controller is subject (Article 6(1)(c))</w:t>
            </w:r>
          </w:p>
        </w:tc>
      </w:tr>
      <w:tr w:rsidR="00427306" w14:paraId="4DBFDC89" w14:textId="77777777" w:rsidTr="003B257F">
        <w:tc>
          <w:tcPr>
            <w:tcW w:w="4531" w:type="dxa"/>
            <w:shd w:val="clear" w:color="auto" w:fill="auto"/>
          </w:tcPr>
          <w:p w14:paraId="1351E32C"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Performance of contracts concluded with contractors</w:t>
            </w:r>
          </w:p>
        </w:tc>
        <w:tc>
          <w:tcPr>
            <w:tcW w:w="4531" w:type="dxa"/>
            <w:shd w:val="clear" w:color="auto" w:fill="auto"/>
          </w:tcPr>
          <w:p w14:paraId="4784D3D8"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the necessity of the processing for the performance of the contract (Article 6(1)(b) of the GDPR)</w:t>
            </w:r>
          </w:p>
        </w:tc>
      </w:tr>
      <w:tr w:rsidR="00427306" w14:paraId="50F3468A" w14:textId="77777777" w:rsidTr="003B257F">
        <w:tc>
          <w:tcPr>
            <w:tcW w:w="4531" w:type="dxa"/>
            <w:shd w:val="clear" w:color="auto" w:fill="auto"/>
          </w:tcPr>
          <w:p w14:paraId="547C5028"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Handling procurement activities</w:t>
            </w:r>
          </w:p>
        </w:tc>
        <w:tc>
          <w:tcPr>
            <w:tcW w:w="4531" w:type="dxa"/>
            <w:shd w:val="clear" w:color="auto" w:fill="auto"/>
          </w:tcPr>
          <w:p w14:paraId="401BE6F2"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the necessity of the processing for the performance of the contract (Article 6(1)(b) of the GDPR)</w:t>
            </w:r>
          </w:p>
          <w:p w14:paraId="0977B8A5"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in order to comply with a legal obligation (Article 6(1)(c))</w:t>
            </w:r>
          </w:p>
        </w:tc>
      </w:tr>
      <w:tr w:rsidR="00427306" w14:paraId="65D2E1BB" w14:textId="77777777" w:rsidTr="003B257F">
        <w:tc>
          <w:tcPr>
            <w:tcW w:w="4531" w:type="dxa"/>
            <w:shd w:val="clear" w:color="auto" w:fill="auto"/>
          </w:tcPr>
          <w:p w14:paraId="1FE6099B"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Processing of data on the basis of consent</w:t>
            </w:r>
          </w:p>
        </w:tc>
        <w:tc>
          <w:tcPr>
            <w:tcW w:w="4531" w:type="dxa"/>
            <w:shd w:val="clear" w:color="auto" w:fill="auto"/>
          </w:tcPr>
          <w:p w14:paraId="570B413F" w14:textId="77777777" w:rsidR="00427306" w:rsidRPr="00D877A0" w:rsidRDefault="00427306" w:rsidP="003B257F">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the legal basis for the processing is the consent given through the act of participation in a public procurement procedure (Article 6(1)(a) of the GDPR)</w:t>
            </w:r>
          </w:p>
        </w:tc>
      </w:tr>
    </w:tbl>
    <w:p w14:paraId="662AA696" w14:textId="7E7C015E"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5.</w:t>
      </w:r>
      <w:r>
        <w:rPr>
          <w:rFonts w:ascii="Calibri" w:hAnsi="Calibri"/>
          <w:i/>
          <w:sz w:val="20"/>
        </w:rPr>
        <w:tab/>
      </w:r>
      <w:r>
        <w:rPr>
          <w:rFonts w:ascii="Calibri" w:hAnsi="Calibri"/>
          <w:sz w:val="20"/>
        </w:rPr>
        <w:t>In connection with the processing of personal data for the purposes referred to in point 4, your personal data shall be communicated to the entities and persons concerned, as in principle the public procurement procedure is open to the public. Moreover, recipients of personal data may be other entities and persons who, on the basis of relevant Contracts signed with the National Centre, process personal data for which the Centre is the Controller.</w:t>
      </w:r>
    </w:p>
    <w:p w14:paraId="0D45B8AA" w14:textId="2B19D51E"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6.</w:t>
      </w:r>
      <w:r>
        <w:rPr>
          <w:rFonts w:ascii="Calibri" w:hAnsi="Calibri"/>
          <w:sz w:val="20"/>
        </w:rPr>
        <w:tab/>
        <w:t xml:space="preserve">Your personal data will be stored pursuant to Article 78 of the Public Procurement Law, i.e. for a period of 4 years from the date of completion of the contract award procedure, and in the case of conclusion of a public procurement contract with the term of validity exceeding 4 years, the storage period shall be </w:t>
      </w:r>
      <w:bookmarkStart w:id="0" w:name="highlightHit_9"/>
      <w:bookmarkEnd w:id="0"/>
      <w:r>
        <w:rPr>
          <w:rFonts w:ascii="Calibri" w:hAnsi="Calibri"/>
          <w:sz w:val="20"/>
        </w:rPr>
        <w:t>in line with the duration of the contract and with achieving the objectives specified in point 4 above.</w:t>
      </w:r>
    </w:p>
    <w:p w14:paraId="46CA0203" w14:textId="72A7C9EE"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 xml:space="preserve">7. </w:t>
      </w:r>
      <w:r>
        <w:rPr>
          <w:rFonts w:ascii="Calibri" w:hAnsi="Calibri"/>
          <w:sz w:val="20"/>
        </w:rPr>
        <w:tab/>
        <w:t xml:space="preserve">You have the following rights in relation to the processing of your personal data: </w:t>
      </w:r>
    </w:p>
    <w:p w14:paraId="4EBC0607" w14:textId="77777777" w:rsidR="00427306" w:rsidRPr="00183169" w:rsidRDefault="00427306" w:rsidP="00427306">
      <w:pPr>
        <w:numPr>
          <w:ilvl w:val="1"/>
          <w:numId w:val="13"/>
        </w:numPr>
        <w:tabs>
          <w:tab w:val="clear" w:pos="1440"/>
          <w:tab w:val="num" w:pos="1134"/>
        </w:tabs>
        <w:autoSpaceDE w:val="0"/>
        <w:autoSpaceDN w:val="0"/>
        <w:adjustRightInd w:val="0"/>
        <w:spacing w:before="120" w:after="120"/>
        <w:jc w:val="both"/>
        <w:rPr>
          <w:rFonts w:ascii="Calibri" w:hAnsi="Calibri" w:cs="Calibri"/>
          <w:iCs/>
          <w:sz w:val="20"/>
          <w:szCs w:val="20"/>
        </w:rPr>
      </w:pPr>
      <w:r>
        <w:rPr>
          <w:rFonts w:ascii="Calibri" w:hAnsi="Calibri"/>
          <w:sz w:val="20"/>
        </w:rPr>
        <w:t xml:space="preserve">Article 15 of the GDPR - the right to access and obtain a copy of your personal data, </w:t>
      </w:r>
    </w:p>
    <w:p w14:paraId="1E402BB0" w14:textId="77777777" w:rsidR="00427306" w:rsidRPr="00183169" w:rsidRDefault="00427306" w:rsidP="00427306">
      <w:pPr>
        <w:numPr>
          <w:ilvl w:val="1"/>
          <w:numId w:val="13"/>
        </w:numPr>
        <w:tabs>
          <w:tab w:val="clear" w:pos="1440"/>
          <w:tab w:val="num" w:pos="1134"/>
        </w:tabs>
        <w:autoSpaceDE w:val="0"/>
        <w:autoSpaceDN w:val="0"/>
        <w:adjustRightInd w:val="0"/>
        <w:spacing w:before="120" w:after="120"/>
        <w:jc w:val="both"/>
        <w:rPr>
          <w:rFonts w:ascii="Calibri" w:hAnsi="Calibri" w:cs="Calibri"/>
          <w:iCs/>
          <w:sz w:val="20"/>
          <w:szCs w:val="20"/>
        </w:rPr>
      </w:pPr>
      <w:r>
        <w:rPr>
          <w:rFonts w:ascii="Calibri" w:hAnsi="Calibri"/>
          <w:sz w:val="20"/>
        </w:rPr>
        <w:t>Article 16 of the GDPR - the right to request rectification or completion of personal data, however such a request may not result in changing the outcome of the procurement procedure or amend the provisions of the public procurement contract to the extent incompatible with the Act (Article 19(2) of the PPL).</w:t>
      </w:r>
    </w:p>
    <w:p w14:paraId="1ED8BD0E" w14:textId="77777777" w:rsidR="00427306" w:rsidRPr="00183169" w:rsidRDefault="00427306" w:rsidP="00427306">
      <w:pPr>
        <w:numPr>
          <w:ilvl w:val="1"/>
          <w:numId w:val="13"/>
        </w:numPr>
        <w:tabs>
          <w:tab w:val="clear" w:pos="1440"/>
          <w:tab w:val="num" w:pos="1134"/>
        </w:tabs>
        <w:autoSpaceDE w:val="0"/>
        <w:autoSpaceDN w:val="0"/>
        <w:adjustRightInd w:val="0"/>
        <w:spacing w:before="120" w:after="120"/>
        <w:jc w:val="both"/>
        <w:rPr>
          <w:rFonts w:ascii="Calibri" w:hAnsi="Calibri" w:cs="Calibri"/>
          <w:iCs/>
          <w:sz w:val="20"/>
          <w:szCs w:val="20"/>
        </w:rPr>
      </w:pPr>
      <w:r>
        <w:rPr>
          <w:rFonts w:ascii="Calibri" w:hAnsi="Calibri"/>
          <w:sz w:val="20"/>
        </w:rPr>
        <w:t>Article 17 of the GDPR - the right to request erasure of personal data (the so-called right to be forgotten), unless erasure is not possible pursuant to Article 17(3) b), d) or e) of the GDPR.</w:t>
      </w:r>
    </w:p>
    <w:p w14:paraId="7BD98BD0" w14:textId="77777777" w:rsidR="00427306" w:rsidRPr="00183169" w:rsidRDefault="00427306" w:rsidP="00427306">
      <w:pPr>
        <w:numPr>
          <w:ilvl w:val="1"/>
          <w:numId w:val="13"/>
        </w:numPr>
        <w:tabs>
          <w:tab w:val="clear" w:pos="1440"/>
          <w:tab w:val="num" w:pos="1134"/>
        </w:tabs>
        <w:autoSpaceDE w:val="0"/>
        <w:autoSpaceDN w:val="0"/>
        <w:adjustRightInd w:val="0"/>
        <w:spacing w:before="120" w:after="120"/>
        <w:jc w:val="both"/>
        <w:rPr>
          <w:rFonts w:ascii="Calibri" w:hAnsi="Calibri" w:cs="Calibri"/>
          <w:iCs/>
          <w:sz w:val="20"/>
          <w:szCs w:val="20"/>
        </w:rPr>
      </w:pPr>
      <w:r>
        <w:rPr>
          <w:rFonts w:ascii="Calibri" w:hAnsi="Calibri"/>
          <w:sz w:val="20"/>
        </w:rPr>
        <w:lastRenderedPageBreak/>
        <w:t>Article 18 of the GDPR - the right to request restriction of processing of personal data, as long as the restriction of processing will not have the effect of limiting the processing of personal data until the end of those proceedings (Article 19(3) of the PPL)</w:t>
      </w:r>
    </w:p>
    <w:p w14:paraId="63D5A093" w14:textId="548656CC"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 xml:space="preserve">8. </w:t>
      </w:r>
      <w:r>
        <w:rPr>
          <w:rFonts w:ascii="Calibri" w:hAnsi="Calibri"/>
          <w:sz w:val="20"/>
        </w:rPr>
        <w:tab/>
        <w:t xml:space="preserve">If you become aware of unlawful processing of your personal data at the Centre, you have the right to lodge a complaint with the supervisory authority competent for personal data protection. </w:t>
      </w:r>
    </w:p>
    <w:p w14:paraId="157E048B" w14:textId="1A32D794"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 xml:space="preserve">9. </w:t>
      </w:r>
      <w:r>
        <w:rPr>
          <w:rFonts w:ascii="Calibri" w:hAnsi="Calibri"/>
          <w:sz w:val="20"/>
        </w:rPr>
        <w:tab/>
        <w:t>With regard to your personal data, decisions will not be taken by automated means, pursuant to Article 22 of the GDPR.</w:t>
      </w:r>
    </w:p>
    <w:p w14:paraId="1E80F382" w14:textId="0008897F" w:rsidR="00427306" w:rsidRPr="00183169" w:rsidRDefault="00427306" w:rsidP="00427306">
      <w:pPr>
        <w:autoSpaceDE w:val="0"/>
        <w:autoSpaceDN w:val="0"/>
        <w:adjustRightInd w:val="0"/>
        <w:spacing w:before="120" w:after="120"/>
        <w:ind w:left="705" w:hanging="705"/>
        <w:jc w:val="both"/>
        <w:rPr>
          <w:rFonts w:ascii="Calibri" w:hAnsi="Calibri" w:cs="Calibri"/>
          <w:iCs/>
          <w:sz w:val="20"/>
          <w:szCs w:val="20"/>
        </w:rPr>
      </w:pPr>
      <w:r>
        <w:rPr>
          <w:rFonts w:ascii="Calibri" w:hAnsi="Calibri"/>
          <w:sz w:val="20"/>
        </w:rPr>
        <w:t xml:space="preserve">10. </w:t>
      </w:r>
      <w:r>
        <w:rPr>
          <w:rFonts w:ascii="Calibri" w:hAnsi="Calibri"/>
          <w:sz w:val="20"/>
        </w:rPr>
        <w:tab/>
        <w:t>The above rights should be addressed to the Centre as indicated in the introduction. If the Centre is unable to determine the content of the request or identify the requestor based on the notification made, the Centre will request additional information from the requestor. Replies to the notification will be given promptly, and at the latest within one month of receipt. If it is necessary to extend this deadline, the Centre will inform the applicant of the reasons for the extension. The reply will be sent to the e-mail address from which the application was sent and, in the case of applications sent by letter, by registered mail</w:t>
      </w:r>
      <w:r>
        <w:rPr>
          <w:rFonts w:ascii="Calibri" w:hAnsi="Calibri"/>
          <w:i/>
          <w:sz w:val="20"/>
        </w:rPr>
        <w:t xml:space="preserve"> </w:t>
      </w:r>
      <w:r>
        <w:rPr>
          <w:rFonts w:ascii="Calibri" w:hAnsi="Calibri"/>
          <w:sz w:val="20"/>
        </w:rPr>
        <w:t>to the address indicated by the applicant, unless it is clear from the content of the letter that the applicant wishes to receive the reply to the e-mail address (in which case the e-mail address must be provided).</w:t>
      </w:r>
    </w:p>
    <w:p w14:paraId="6FDBF578" w14:textId="77777777" w:rsidR="00427306" w:rsidRDefault="00427306" w:rsidP="00CB789E">
      <w:pPr>
        <w:ind w:left="4956" w:firstLine="708"/>
        <w:jc w:val="center"/>
        <w:rPr>
          <w:rFonts w:ascii="Calibri" w:hAnsi="Calibri"/>
          <w:i/>
          <w:sz w:val="20"/>
        </w:rPr>
      </w:pPr>
    </w:p>
    <w:p w14:paraId="0CD662D0" w14:textId="77777777" w:rsidR="00427306" w:rsidRDefault="00427306" w:rsidP="00CB789E">
      <w:pPr>
        <w:ind w:left="4956" w:firstLine="708"/>
        <w:jc w:val="center"/>
        <w:rPr>
          <w:rFonts w:ascii="Calibri" w:hAnsi="Calibri"/>
          <w:i/>
          <w:sz w:val="20"/>
        </w:rPr>
      </w:pPr>
    </w:p>
    <w:p w14:paraId="38486D0F" w14:textId="77777777" w:rsidR="00E951DF" w:rsidRDefault="00E951DF" w:rsidP="00CB789E">
      <w:pPr>
        <w:ind w:left="4956" w:firstLine="708"/>
        <w:jc w:val="center"/>
        <w:rPr>
          <w:rFonts w:ascii="Calibri" w:hAnsi="Calibri"/>
          <w:i/>
          <w:sz w:val="20"/>
        </w:rPr>
      </w:pPr>
    </w:p>
    <w:p w14:paraId="27506D33" w14:textId="77777777" w:rsidR="00E951DF" w:rsidRDefault="00E951DF" w:rsidP="00CB789E">
      <w:pPr>
        <w:ind w:left="4956" w:firstLine="708"/>
        <w:jc w:val="center"/>
        <w:rPr>
          <w:rFonts w:ascii="Calibri" w:hAnsi="Calibri"/>
          <w:i/>
          <w:sz w:val="20"/>
        </w:rPr>
      </w:pPr>
    </w:p>
    <w:p w14:paraId="225C8F89" w14:textId="77777777" w:rsidR="00E951DF" w:rsidRDefault="00E951DF" w:rsidP="00CB789E">
      <w:pPr>
        <w:ind w:left="4956" w:firstLine="708"/>
        <w:jc w:val="center"/>
        <w:rPr>
          <w:rFonts w:ascii="Calibri" w:hAnsi="Calibri"/>
          <w:i/>
          <w:sz w:val="20"/>
        </w:rPr>
      </w:pPr>
      <w:bookmarkStart w:id="1" w:name="_GoBack"/>
      <w:bookmarkEnd w:id="1"/>
    </w:p>
    <w:sectPr w:rsidR="00E951DF" w:rsidSect="00AF05AD">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417" w:left="1417" w:header="62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D17A" w14:textId="77777777" w:rsidR="00602271" w:rsidRDefault="00602271">
      <w:r>
        <w:separator/>
      </w:r>
    </w:p>
  </w:endnote>
  <w:endnote w:type="continuationSeparator" w:id="0">
    <w:p w14:paraId="284AA17E" w14:textId="77777777" w:rsidR="00602271" w:rsidRDefault="006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8FFE" w14:textId="77777777" w:rsidR="00524EE6" w:rsidRDefault="00524E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DB08" w14:textId="753B7451" w:rsidR="000166C7" w:rsidRDefault="000166C7">
    <w:pPr>
      <w:pStyle w:val="Stopka"/>
    </w:pPr>
  </w:p>
  <w:p w14:paraId="1108B706" w14:textId="77777777" w:rsidR="000166C7" w:rsidRPr="00B13C72" w:rsidRDefault="000166C7" w:rsidP="00881644">
    <w:pPr>
      <w:pStyle w:val="Stopka"/>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88F3" w14:textId="6614C828" w:rsidR="0084137A" w:rsidRDefault="008413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0E27" w14:textId="77777777" w:rsidR="00602271" w:rsidRDefault="00602271">
      <w:r>
        <w:separator/>
      </w:r>
    </w:p>
  </w:footnote>
  <w:footnote w:type="continuationSeparator" w:id="0">
    <w:p w14:paraId="0AF2D0F0" w14:textId="77777777" w:rsidR="00602271" w:rsidRDefault="0060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CFD4" w14:textId="77777777" w:rsidR="000166C7" w:rsidRDefault="00B0687E">
    <w:pPr>
      <w:pStyle w:val="Nagwek"/>
    </w:pPr>
    <w:r>
      <w:pict w14:anchorId="187E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1054"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9B9C" w14:textId="464F8F5B" w:rsidR="00553E78" w:rsidRDefault="00553E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690A" w14:textId="5123D0F9" w:rsidR="000166C7" w:rsidRDefault="000166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80422CA"/>
    <w:multiLevelType w:val="hybridMultilevel"/>
    <w:tmpl w:val="0A0A6E8E"/>
    <w:lvl w:ilvl="0" w:tplc="CD469F52">
      <w:start w:val="2"/>
      <w:numFmt w:val="decimal"/>
      <w:lvlText w:val="%1."/>
      <w:lvlJc w:val="left"/>
      <w:pPr>
        <w:tabs>
          <w:tab w:val="num" w:pos="1134"/>
        </w:tabs>
        <w:ind w:left="2629"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B2488"/>
    <w:multiLevelType w:val="hybridMultilevel"/>
    <w:tmpl w:val="3DAC3854"/>
    <w:lvl w:ilvl="0" w:tplc="AA029D4E">
      <w:start w:val="13"/>
      <w:numFmt w:val="decimal"/>
      <w:lvlText w:val="%1."/>
      <w:lvlJc w:val="left"/>
      <w:pPr>
        <w:tabs>
          <w:tab w:val="num" w:pos="1134"/>
        </w:tabs>
        <w:ind w:left="2629"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2F19CC"/>
    <w:multiLevelType w:val="hybridMultilevel"/>
    <w:tmpl w:val="9A0E8E7C"/>
    <w:lvl w:ilvl="0" w:tplc="CF4044BE">
      <w:start w:val="4"/>
      <w:numFmt w:val="bullet"/>
      <w:lvlText w:val="-"/>
      <w:lvlJc w:val="left"/>
      <w:pPr>
        <w:ind w:left="720" w:hanging="360"/>
      </w:pPr>
      <w:rPr>
        <w:rFonts w:ascii="GillSans" w:eastAsia="MS Mincho" w:hAnsi="GillSans" w:cs="GillSan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1331F"/>
    <w:multiLevelType w:val="hybridMultilevel"/>
    <w:tmpl w:val="130E5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AB439C"/>
    <w:multiLevelType w:val="hybridMultilevel"/>
    <w:tmpl w:val="6ED07F5E"/>
    <w:lvl w:ilvl="0" w:tplc="4E72CD1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9EF6C75"/>
    <w:multiLevelType w:val="hybridMultilevel"/>
    <w:tmpl w:val="31ACEE7A"/>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5940C6"/>
    <w:multiLevelType w:val="hybridMultilevel"/>
    <w:tmpl w:val="13120B2A"/>
    <w:lvl w:ilvl="0" w:tplc="90B27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8E09CD"/>
    <w:multiLevelType w:val="multilevel"/>
    <w:tmpl w:val="44B89732"/>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9"/>
  </w:num>
  <w:num w:numId="4">
    <w:abstractNumId w:val="4"/>
  </w:num>
  <w:num w:numId="5">
    <w:abstractNumId w:val="1"/>
  </w:num>
  <w:num w:numId="6">
    <w:abstractNumId w:val="12"/>
  </w:num>
  <w:num w:numId="7">
    <w:abstractNumId w:val="0"/>
  </w:num>
  <w:num w:numId="8">
    <w:abstractNumId w:val="2"/>
  </w:num>
  <w:num w:numId="9">
    <w:abstractNumId w:val="3"/>
  </w:num>
  <w:num w:numId="10">
    <w:abstractNumId w:val="7"/>
  </w:num>
  <w:num w:numId="11">
    <w:abstractNumId w:val="5"/>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1B"/>
    <w:rsid w:val="0000163A"/>
    <w:rsid w:val="000166C7"/>
    <w:rsid w:val="000212FA"/>
    <w:rsid w:val="00022AFF"/>
    <w:rsid w:val="000263FF"/>
    <w:rsid w:val="000446E4"/>
    <w:rsid w:val="00053930"/>
    <w:rsid w:val="000540BC"/>
    <w:rsid w:val="00067D2E"/>
    <w:rsid w:val="000727C2"/>
    <w:rsid w:val="00087052"/>
    <w:rsid w:val="00095202"/>
    <w:rsid w:val="00095E05"/>
    <w:rsid w:val="000A11EE"/>
    <w:rsid w:val="000C32C9"/>
    <w:rsid w:val="000C76EB"/>
    <w:rsid w:val="000C7D5D"/>
    <w:rsid w:val="000F267B"/>
    <w:rsid w:val="00104BE2"/>
    <w:rsid w:val="00144F0C"/>
    <w:rsid w:val="00152AD2"/>
    <w:rsid w:val="00155BA0"/>
    <w:rsid w:val="001A533C"/>
    <w:rsid w:val="001B2496"/>
    <w:rsid w:val="00204D1F"/>
    <w:rsid w:val="00220B1C"/>
    <w:rsid w:val="00225F53"/>
    <w:rsid w:val="002431DA"/>
    <w:rsid w:val="002449FC"/>
    <w:rsid w:val="0026142F"/>
    <w:rsid w:val="00275400"/>
    <w:rsid w:val="00287005"/>
    <w:rsid w:val="002A44BF"/>
    <w:rsid w:val="002A74D1"/>
    <w:rsid w:val="002B1447"/>
    <w:rsid w:val="002E20FA"/>
    <w:rsid w:val="002F68B1"/>
    <w:rsid w:val="00315F68"/>
    <w:rsid w:val="00316C90"/>
    <w:rsid w:val="00335204"/>
    <w:rsid w:val="0035289F"/>
    <w:rsid w:val="003678EB"/>
    <w:rsid w:val="00385535"/>
    <w:rsid w:val="003B2966"/>
    <w:rsid w:val="003F2083"/>
    <w:rsid w:val="0041353D"/>
    <w:rsid w:val="00424621"/>
    <w:rsid w:val="00427306"/>
    <w:rsid w:val="0044055B"/>
    <w:rsid w:val="00454675"/>
    <w:rsid w:val="004557E2"/>
    <w:rsid w:val="004676EF"/>
    <w:rsid w:val="00485BB7"/>
    <w:rsid w:val="00496300"/>
    <w:rsid w:val="004A07F0"/>
    <w:rsid w:val="004B4C8A"/>
    <w:rsid w:val="004C1B3B"/>
    <w:rsid w:val="004D5F1B"/>
    <w:rsid w:val="00524EE6"/>
    <w:rsid w:val="00534DCD"/>
    <w:rsid w:val="00553E78"/>
    <w:rsid w:val="005566B1"/>
    <w:rsid w:val="00561504"/>
    <w:rsid w:val="005725F8"/>
    <w:rsid w:val="00574432"/>
    <w:rsid w:val="005747DE"/>
    <w:rsid w:val="00576248"/>
    <w:rsid w:val="005856C4"/>
    <w:rsid w:val="0059647D"/>
    <w:rsid w:val="005B6210"/>
    <w:rsid w:val="005C7E63"/>
    <w:rsid w:val="005D228C"/>
    <w:rsid w:val="00602271"/>
    <w:rsid w:val="00602D17"/>
    <w:rsid w:val="00611641"/>
    <w:rsid w:val="00627245"/>
    <w:rsid w:val="00656A9B"/>
    <w:rsid w:val="006633D7"/>
    <w:rsid w:val="00665F1A"/>
    <w:rsid w:val="006663AC"/>
    <w:rsid w:val="00684302"/>
    <w:rsid w:val="006A0AE9"/>
    <w:rsid w:val="006A0E19"/>
    <w:rsid w:val="006D3ED3"/>
    <w:rsid w:val="0071542C"/>
    <w:rsid w:val="00717410"/>
    <w:rsid w:val="007176E5"/>
    <w:rsid w:val="00725441"/>
    <w:rsid w:val="00726631"/>
    <w:rsid w:val="00732CFD"/>
    <w:rsid w:val="00736D3C"/>
    <w:rsid w:val="007901FE"/>
    <w:rsid w:val="0079114F"/>
    <w:rsid w:val="00793CD5"/>
    <w:rsid w:val="007A1694"/>
    <w:rsid w:val="007B17E8"/>
    <w:rsid w:val="007C6946"/>
    <w:rsid w:val="007D4021"/>
    <w:rsid w:val="007D4132"/>
    <w:rsid w:val="007D6720"/>
    <w:rsid w:val="007E32E3"/>
    <w:rsid w:val="007E5B10"/>
    <w:rsid w:val="007F4191"/>
    <w:rsid w:val="008247EC"/>
    <w:rsid w:val="0084137A"/>
    <w:rsid w:val="00870987"/>
    <w:rsid w:val="008772F6"/>
    <w:rsid w:val="00881644"/>
    <w:rsid w:val="00896903"/>
    <w:rsid w:val="008A0245"/>
    <w:rsid w:val="008A30BF"/>
    <w:rsid w:val="008A7B42"/>
    <w:rsid w:val="008D0DCA"/>
    <w:rsid w:val="00920D58"/>
    <w:rsid w:val="0092125F"/>
    <w:rsid w:val="00927584"/>
    <w:rsid w:val="00945465"/>
    <w:rsid w:val="00951BFB"/>
    <w:rsid w:val="00954247"/>
    <w:rsid w:val="00961D93"/>
    <w:rsid w:val="009A0445"/>
    <w:rsid w:val="009A205D"/>
    <w:rsid w:val="009E1EFF"/>
    <w:rsid w:val="00A043EB"/>
    <w:rsid w:val="00A176FA"/>
    <w:rsid w:val="00A20E99"/>
    <w:rsid w:val="00A474BE"/>
    <w:rsid w:val="00A5445B"/>
    <w:rsid w:val="00A56922"/>
    <w:rsid w:val="00A626F0"/>
    <w:rsid w:val="00A729CB"/>
    <w:rsid w:val="00A81A99"/>
    <w:rsid w:val="00A8459B"/>
    <w:rsid w:val="00A86EDF"/>
    <w:rsid w:val="00A90C75"/>
    <w:rsid w:val="00AC6330"/>
    <w:rsid w:val="00AD093E"/>
    <w:rsid w:val="00AD3451"/>
    <w:rsid w:val="00AD3792"/>
    <w:rsid w:val="00AD6233"/>
    <w:rsid w:val="00AF05AD"/>
    <w:rsid w:val="00AF37C3"/>
    <w:rsid w:val="00B002C5"/>
    <w:rsid w:val="00B0687E"/>
    <w:rsid w:val="00B133E0"/>
    <w:rsid w:val="00B13C72"/>
    <w:rsid w:val="00B2255A"/>
    <w:rsid w:val="00B52D2D"/>
    <w:rsid w:val="00B61231"/>
    <w:rsid w:val="00B62723"/>
    <w:rsid w:val="00B65D03"/>
    <w:rsid w:val="00B76840"/>
    <w:rsid w:val="00B768B7"/>
    <w:rsid w:val="00BA01CB"/>
    <w:rsid w:val="00BA6B74"/>
    <w:rsid w:val="00BB068E"/>
    <w:rsid w:val="00BD2746"/>
    <w:rsid w:val="00BE0A77"/>
    <w:rsid w:val="00BE78A6"/>
    <w:rsid w:val="00C053F0"/>
    <w:rsid w:val="00C2053B"/>
    <w:rsid w:val="00C211AA"/>
    <w:rsid w:val="00C305E3"/>
    <w:rsid w:val="00C46334"/>
    <w:rsid w:val="00C47FC0"/>
    <w:rsid w:val="00C53237"/>
    <w:rsid w:val="00C55367"/>
    <w:rsid w:val="00C66367"/>
    <w:rsid w:val="00C76553"/>
    <w:rsid w:val="00CA74CF"/>
    <w:rsid w:val="00CB2FF9"/>
    <w:rsid w:val="00CB7847"/>
    <w:rsid w:val="00CB789E"/>
    <w:rsid w:val="00CC37A1"/>
    <w:rsid w:val="00CE765F"/>
    <w:rsid w:val="00D016A6"/>
    <w:rsid w:val="00D04685"/>
    <w:rsid w:val="00D16815"/>
    <w:rsid w:val="00D43E82"/>
    <w:rsid w:val="00D558B4"/>
    <w:rsid w:val="00D61C72"/>
    <w:rsid w:val="00DB7183"/>
    <w:rsid w:val="00DC6FC6"/>
    <w:rsid w:val="00DC7EF5"/>
    <w:rsid w:val="00DD5205"/>
    <w:rsid w:val="00DE7CD5"/>
    <w:rsid w:val="00DF326F"/>
    <w:rsid w:val="00DF66FA"/>
    <w:rsid w:val="00E33025"/>
    <w:rsid w:val="00E412AD"/>
    <w:rsid w:val="00E6796E"/>
    <w:rsid w:val="00E951DF"/>
    <w:rsid w:val="00ED25CE"/>
    <w:rsid w:val="00EF30F4"/>
    <w:rsid w:val="00F06352"/>
    <w:rsid w:val="00F07916"/>
    <w:rsid w:val="00F07A6A"/>
    <w:rsid w:val="00F11207"/>
    <w:rsid w:val="00F13131"/>
    <w:rsid w:val="00F56CD9"/>
    <w:rsid w:val="00F65147"/>
    <w:rsid w:val="00F76270"/>
    <w:rsid w:val="00F844BA"/>
    <w:rsid w:val="00F84D05"/>
    <w:rsid w:val="00F929E8"/>
    <w:rsid w:val="00F93E10"/>
    <w:rsid w:val="00FE15E5"/>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shapeDefaults>
  <w:decimalSymbol w:val=","/>
  <w:listSeparator w:val=";"/>
  <w14:docId w14:val="237C8FFF"/>
  <w15:docId w15:val="{221CF594-3127-4807-A3B7-19DDA649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946"/>
  </w:style>
  <w:style w:type="paragraph" w:styleId="Nagwek1">
    <w:name w:val="heading 1"/>
    <w:basedOn w:val="Normalny"/>
    <w:next w:val="Normalny"/>
    <w:link w:val="Nagwek1Znak"/>
    <w:uiPriority w:val="9"/>
    <w:qFormat/>
    <w:rsid w:val="00287005"/>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character" w:customStyle="1" w:styleId="Nagwek1Znak">
    <w:name w:val="Nagłówek 1 Znak"/>
    <w:basedOn w:val="Domylnaczcionkaakapitu"/>
    <w:link w:val="Nagwek1"/>
    <w:uiPriority w:val="9"/>
    <w:rsid w:val="00287005"/>
    <w:rPr>
      <w:rFonts w:asciiTheme="majorHAnsi" w:eastAsiaTheme="majorEastAsia" w:hAnsiTheme="majorHAnsi" w:cstheme="majorBidi"/>
      <w:b/>
      <w:bCs/>
      <w:color w:val="345A8A" w:themeColor="accent1" w:themeShade="B5"/>
      <w:sz w:val="32"/>
      <w:szCs w:val="32"/>
      <w:lang w:val="en-GB" w:eastAsia="en-US"/>
    </w:rPr>
  </w:style>
  <w:style w:type="paragraph" w:styleId="Podtytu">
    <w:name w:val="Subtitle"/>
    <w:basedOn w:val="Normalny"/>
    <w:next w:val="Normalny"/>
    <w:link w:val="PodtytuZnak"/>
    <w:uiPriority w:val="11"/>
    <w:qFormat/>
    <w:rsid w:val="00287005"/>
    <w:pPr>
      <w:numPr>
        <w:ilvl w:val="1"/>
      </w:numPr>
    </w:pPr>
    <w:rPr>
      <w:rFonts w:asciiTheme="majorHAnsi" w:eastAsiaTheme="majorEastAsia" w:hAnsiTheme="majorHAnsi" w:cstheme="majorBidi"/>
      <w:i/>
      <w:iCs/>
      <w:color w:val="4F81BD" w:themeColor="accent1"/>
      <w:spacing w:val="15"/>
      <w:lang w:eastAsia="en-US"/>
    </w:rPr>
  </w:style>
  <w:style w:type="character" w:customStyle="1" w:styleId="PodtytuZnak">
    <w:name w:val="Podtytuł Znak"/>
    <w:basedOn w:val="Domylnaczcionkaakapitu"/>
    <w:link w:val="Podtytu"/>
    <w:uiPriority w:val="11"/>
    <w:rsid w:val="00287005"/>
    <w:rPr>
      <w:rFonts w:asciiTheme="majorHAnsi" w:eastAsiaTheme="majorEastAsia" w:hAnsiTheme="majorHAnsi" w:cstheme="majorBidi"/>
      <w:i/>
      <w:iCs/>
      <w:color w:val="4F81BD" w:themeColor="accent1"/>
      <w:spacing w:val="15"/>
      <w:lang w:val="en-GB" w:eastAsia="en-US"/>
    </w:rPr>
  </w:style>
  <w:style w:type="paragraph" w:styleId="Tekstprzypisukocowego">
    <w:name w:val="endnote text"/>
    <w:basedOn w:val="Normalny"/>
    <w:link w:val="TekstprzypisukocowegoZnak"/>
    <w:uiPriority w:val="99"/>
    <w:semiHidden/>
    <w:unhideWhenUsed/>
    <w:rsid w:val="00095E05"/>
    <w:rPr>
      <w:sz w:val="20"/>
      <w:szCs w:val="20"/>
    </w:rPr>
  </w:style>
  <w:style w:type="character" w:customStyle="1" w:styleId="TekstprzypisukocowegoZnak">
    <w:name w:val="Tekst przypisu końcowego Znak"/>
    <w:basedOn w:val="Domylnaczcionkaakapitu"/>
    <w:link w:val="Tekstprzypisukocowego"/>
    <w:uiPriority w:val="99"/>
    <w:semiHidden/>
    <w:rsid w:val="00095E05"/>
    <w:rPr>
      <w:sz w:val="20"/>
      <w:szCs w:val="20"/>
    </w:rPr>
  </w:style>
  <w:style w:type="character" w:styleId="Odwoanieprzypisukocowego">
    <w:name w:val="endnote reference"/>
    <w:basedOn w:val="Domylnaczcionkaakapitu"/>
    <w:uiPriority w:val="99"/>
    <w:semiHidden/>
    <w:unhideWhenUsed/>
    <w:rsid w:val="00095E05"/>
    <w:rPr>
      <w:vertAlign w:val="superscript"/>
    </w:rPr>
  </w:style>
  <w:style w:type="paragraph" w:customStyle="1" w:styleId="Zwykytekst1">
    <w:name w:val="Zwykły tekst1"/>
    <w:basedOn w:val="Normalny"/>
    <w:rsid w:val="00A5445B"/>
    <w:pPr>
      <w:suppressAutoHyphens/>
    </w:pPr>
    <w:rPr>
      <w:rFonts w:ascii="Courier New" w:hAnsi="Courier New" w:cs="Courier New"/>
      <w:sz w:val="20"/>
      <w:szCs w:val="20"/>
      <w:lang w:eastAsia="ar-SA"/>
    </w:rPr>
  </w:style>
  <w:style w:type="table" w:customStyle="1" w:styleId="Tabela-Siatka1">
    <w:name w:val="Tabela - Siatka1"/>
    <w:basedOn w:val="Standardowy"/>
    <w:next w:val="Tabela-Siatka"/>
    <w:uiPriority w:val="39"/>
    <w:rsid w:val="00BE0A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B2FF9"/>
    <w:rPr>
      <w:sz w:val="16"/>
      <w:szCs w:val="16"/>
    </w:rPr>
  </w:style>
  <w:style w:type="paragraph" w:styleId="Tekstkomentarza">
    <w:name w:val="annotation text"/>
    <w:basedOn w:val="Normalny"/>
    <w:link w:val="TekstkomentarzaZnak"/>
    <w:uiPriority w:val="99"/>
    <w:semiHidden/>
    <w:unhideWhenUsed/>
    <w:rsid w:val="00CB2FF9"/>
    <w:rPr>
      <w:sz w:val="20"/>
      <w:szCs w:val="20"/>
    </w:rPr>
  </w:style>
  <w:style w:type="character" w:customStyle="1" w:styleId="TekstkomentarzaZnak">
    <w:name w:val="Tekst komentarza Znak"/>
    <w:basedOn w:val="Domylnaczcionkaakapitu"/>
    <w:link w:val="Tekstkomentarza"/>
    <w:uiPriority w:val="99"/>
    <w:semiHidden/>
    <w:rsid w:val="00CB2FF9"/>
    <w:rPr>
      <w:sz w:val="20"/>
      <w:szCs w:val="20"/>
    </w:rPr>
  </w:style>
  <w:style w:type="paragraph" w:styleId="Tematkomentarza">
    <w:name w:val="annotation subject"/>
    <w:basedOn w:val="Tekstkomentarza"/>
    <w:next w:val="Tekstkomentarza"/>
    <w:link w:val="TematkomentarzaZnak"/>
    <w:uiPriority w:val="99"/>
    <w:semiHidden/>
    <w:unhideWhenUsed/>
    <w:rsid w:val="00CB2FF9"/>
    <w:rPr>
      <w:b/>
      <w:bCs/>
    </w:rPr>
  </w:style>
  <w:style w:type="character" w:customStyle="1" w:styleId="TematkomentarzaZnak">
    <w:name w:val="Temat komentarza Znak"/>
    <w:basedOn w:val="TekstkomentarzaZnak"/>
    <w:link w:val="Tematkomentarza"/>
    <w:uiPriority w:val="99"/>
    <w:semiHidden/>
    <w:rsid w:val="00CB2FF9"/>
    <w:rPr>
      <w:b/>
      <w:bCs/>
      <w:sz w:val="20"/>
      <w:szCs w:val="20"/>
    </w:rPr>
  </w:style>
  <w:style w:type="paragraph" w:styleId="Poprawka">
    <w:name w:val="Revision"/>
    <w:hidden/>
    <w:uiPriority w:val="99"/>
    <w:semiHidden/>
    <w:rsid w:val="0041353D"/>
  </w:style>
  <w:style w:type="table" w:customStyle="1" w:styleId="Tabela-Siatka2">
    <w:name w:val="Tabela - Siatka2"/>
    <w:basedOn w:val="Standardowy"/>
    <w:next w:val="Tabela-Siatka"/>
    <w:uiPriority w:val="39"/>
    <w:rsid w:val="00F131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okbold">
    <w:name w:val="tekst dok. bold"/>
    <w:rsid w:val="00427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j.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BE39-3FB5-48E8-A5D5-D29912C6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2</TotalTime>
  <Pages>2</Pages>
  <Words>808</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Świerk, ………………</vt:lpstr>
    </vt:vector>
  </TitlesOfParts>
  <Company>IPJ</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Świerk, ………………</dc:title>
  <dc:creator>gryzewskap</dc:creator>
  <cp:lastModifiedBy>Krzysztof Małetka</cp:lastModifiedBy>
  <cp:revision>4</cp:revision>
  <cp:lastPrinted>2017-04-11T10:30:00Z</cp:lastPrinted>
  <dcterms:created xsi:type="dcterms:W3CDTF">2023-01-12T12:40:00Z</dcterms:created>
  <dcterms:modified xsi:type="dcterms:W3CDTF">2023-01-12T13:07:00Z</dcterms:modified>
</cp:coreProperties>
</file>