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right"/>
      </w:pPr>
      <w:r>
        <w:rPr/>
      </w:r>
    </w:p>
    <w:p>
      <w:pPr>
        <w:pStyle w:val="style0"/>
        <w:jc w:val="both"/>
      </w:pPr>
      <w:r>
        <w:rPr>
          <w:rFonts w:ascii="Verdana" w:cs="Tahoma" w:hAnsi="Verdana"/>
          <w:sz w:val="16"/>
          <w:szCs w:val="16"/>
        </w:rPr>
      </w:r>
    </w:p>
    <w:p>
      <w:pPr>
        <w:pStyle w:val="style0"/>
        <w:spacing w:line="360" w:lineRule="auto"/>
      </w:pPr>
      <w:r>
        <w:rPr>
          <w:rFonts w:ascii="Verdana" w:cs="Tahoma" w:hAnsi="Verdana"/>
          <w:b/>
          <w:sz w:val="16"/>
          <w:szCs w:val="16"/>
          <w:u w:val="single"/>
        </w:rPr>
        <w:t>Opis konstrukcji UNIWERSALNEGO ZESTAWU OGLĘDZINOWEGO</w:t>
      </w:r>
    </w:p>
    <w:p>
      <w:pPr>
        <w:pStyle w:val="style30"/>
        <w:numPr>
          <w:ilvl w:val="0"/>
          <w:numId w:val="4"/>
        </w:numPr>
        <w:ind w:hanging="567" w:left="567" w:right="0"/>
      </w:pPr>
      <w:r>
        <w:rPr>
          <w:rFonts w:ascii="Verdana" w:hAnsi="Verdana"/>
          <w:b/>
          <w:sz w:val="16"/>
          <w:szCs w:val="16"/>
        </w:rPr>
        <w:t>Walizka dostosowana do specyficznych warunków pracy technika kryminalistyki na miejscu zdarzenia</w:t>
      </w:r>
      <w:r>
        <w:rPr>
          <w:rFonts w:ascii="Verdana" w:hAnsi="Verdana"/>
          <w:sz w:val="16"/>
          <w:szCs w:val="16"/>
        </w:rPr>
        <w:t xml:space="preserve"> 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boki walizki wykonane z wodoodpornej sklejki 4 mm typu „STUCCO” tj. z wprasowaną zewnętrznie blachą aluminiową,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krawędzie walizki wzmocnione kątownikami aluminiowymi 25 x 25  x 1,5 mm i stalowymi okuciami na narożnikach,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krawędzie wieka i dna walizki wzmocnione aluminiowym profilami zamykającymi  U-hybrydowymi oraz stalowymi kątownikami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walizka wyposażona w dwa zamki typu UNICLIP,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wewnątrz walizki zamontowane blokady wieka zapobiegające jego samoistnemu zamykaniu się,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ścianki wewnętrzne walizki pokryte pianką techniczną czarną LD 5 mm,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na dwóch płaszczyznach walizki gumowe nóżki,</w:t>
      </w:r>
    </w:p>
    <w:p>
      <w:pPr>
        <w:pStyle w:val="style30"/>
        <w:numPr>
          <w:ilvl w:val="0"/>
          <w:numId w:val="3"/>
        </w:numPr>
        <w:ind w:hanging="567" w:left="1134" w:right="0"/>
      </w:pPr>
      <w:r>
        <w:rPr>
          <w:rFonts w:ascii="Verdana" w:hAnsi="Verdana"/>
          <w:sz w:val="16"/>
          <w:szCs w:val="16"/>
        </w:rPr>
        <w:t>stopień ochrony IP54.</w:t>
      </w:r>
    </w:p>
    <w:p>
      <w:pPr>
        <w:pStyle w:val="style0"/>
        <w:ind w:hanging="567" w:left="1134" w:right="0"/>
      </w:pPr>
      <w:r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>W celu zapewnienia szybkiego dostępu do wyposażenia, elementy wyposażenia rozmieszczone zostały:</w:t>
      </w:r>
    </w:p>
    <w:p>
      <w:pPr>
        <w:pStyle w:val="style0"/>
        <w:numPr>
          <w:ilvl w:val="0"/>
          <w:numId w:val="2"/>
        </w:numPr>
        <w:ind w:hanging="567" w:left="1134" w:right="0"/>
      </w:pPr>
      <w:r>
        <w:rPr>
          <w:rFonts w:ascii="Verdana" w:hAnsi="Verdana"/>
          <w:sz w:val="16"/>
          <w:szCs w:val="16"/>
        </w:rPr>
        <w:t>na palecie w wieku,</w:t>
      </w:r>
    </w:p>
    <w:p>
      <w:pPr>
        <w:pStyle w:val="style0"/>
        <w:numPr>
          <w:ilvl w:val="0"/>
          <w:numId w:val="2"/>
        </w:numPr>
        <w:ind w:hanging="567" w:left="1134" w:right="0"/>
      </w:pPr>
      <w:r>
        <w:rPr>
          <w:rFonts w:ascii="Verdana" w:hAnsi="Verdana"/>
          <w:sz w:val="16"/>
          <w:szCs w:val="16"/>
        </w:rPr>
        <w:t>na palecie uchylnej,</w:t>
      </w:r>
    </w:p>
    <w:p>
      <w:pPr>
        <w:pStyle w:val="style0"/>
        <w:numPr>
          <w:ilvl w:val="0"/>
          <w:numId w:val="2"/>
        </w:numPr>
        <w:ind w:hanging="567" w:left="1134" w:right="0"/>
      </w:pPr>
      <w:r>
        <w:rPr>
          <w:rFonts w:ascii="Verdana" w:hAnsi="Verdana"/>
          <w:sz w:val="16"/>
          <w:szCs w:val="16"/>
        </w:rPr>
        <w:t xml:space="preserve">w pyłoszczelnym organizerze daktyloskopijnym, </w:t>
      </w:r>
    </w:p>
    <w:p>
      <w:pPr>
        <w:pStyle w:val="style0"/>
        <w:numPr>
          <w:ilvl w:val="0"/>
          <w:numId w:val="2"/>
        </w:numPr>
        <w:ind w:hanging="567" w:left="1134" w:right="0"/>
      </w:pPr>
      <w:r>
        <w:rPr>
          <w:rFonts w:ascii="Verdana" w:hAnsi="Verdana"/>
          <w:sz w:val="16"/>
          <w:szCs w:val="16"/>
        </w:rPr>
        <w:t>organizerze mechanoskopijnym,</w:t>
      </w:r>
    </w:p>
    <w:p>
      <w:pPr>
        <w:pStyle w:val="style0"/>
        <w:numPr>
          <w:ilvl w:val="0"/>
          <w:numId w:val="2"/>
        </w:numPr>
        <w:ind w:hanging="567" w:left="1134" w:right="0"/>
      </w:pPr>
      <w:r>
        <w:rPr>
          <w:rFonts w:ascii="Verdana" w:hAnsi="Verdana"/>
          <w:sz w:val="16"/>
          <w:szCs w:val="16"/>
        </w:rPr>
        <w:t>pyłoszczelnym organizerze na pędzle daktyloskopijne,</w:t>
      </w:r>
    </w:p>
    <w:p>
      <w:pPr>
        <w:pStyle w:val="style0"/>
        <w:numPr>
          <w:ilvl w:val="0"/>
          <w:numId w:val="2"/>
        </w:numPr>
        <w:ind w:hanging="567" w:left="1134" w:right="0"/>
      </w:pPr>
      <w:r>
        <w:rPr>
          <w:rFonts w:ascii="Verdana" w:hAnsi="Verdana"/>
          <w:sz w:val="16"/>
          <w:szCs w:val="16"/>
        </w:rPr>
        <w:t>organizerze na numerki.</w:t>
      </w:r>
    </w:p>
    <w:p>
      <w:pPr>
        <w:pStyle w:val="style0"/>
        <w:ind w:hanging="0" w:left="318" w:right="0"/>
      </w:pPr>
      <w:r>
        <w:rPr>
          <w:rFonts w:ascii="Verdana" w:hAnsi="Verdana"/>
          <w:sz w:val="16"/>
          <w:szCs w:val="16"/>
        </w:rPr>
      </w:r>
    </w:p>
    <w:p>
      <w:pPr>
        <w:pStyle w:val="style30"/>
        <w:numPr>
          <w:ilvl w:val="0"/>
          <w:numId w:val="4"/>
        </w:numPr>
        <w:spacing w:line="360" w:lineRule="auto"/>
        <w:ind w:hanging="567" w:left="567" w:right="0"/>
      </w:pPr>
      <w:r>
        <w:rPr>
          <w:rFonts w:ascii="Verdana" w:cs="Tahoma" w:hAnsi="Verdana"/>
          <w:b/>
          <w:sz w:val="16"/>
          <w:szCs w:val="16"/>
        </w:rPr>
        <w:t>Rozmieszczenie wyposażenia walizki:</w:t>
      </w:r>
    </w:p>
    <w:p>
      <w:pPr>
        <w:pStyle w:val="style0"/>
        <w:jc w:val="both"/>
      </w:pPr>
      <w:r>
        <w:rPr>
          <w:rFonts w:ascii="Verdana" w:cs="Tahoma" w:hAnsi="Verdana"/>
          <w:sz w:val="16"/>
          <w:szCs w:val="16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8220"/>
        <w:gridCol w:w="1135"/>
      </w:tblGrid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LP</w:t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ILOŚĆ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Organizer mechanoskopijny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młotek 300 g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-288"/>
            </w:pPr>
            <w:r>
              <w:rPr>
                <w:rFonts w:ascii="Verdana" w:hAnsi="Verdana"/>
                <w:sz w:val="16"/>
                <w:szCs w:val="16"/>
              </w:rPr>
              <w:t xml:space="preserve">szczypce płaskie uniwersalne 160 mm, klasa izolacji min. 500 V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szczypce boczne 160 mm, klasa izolacji min. 500 V,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próbnik napięć („neonówka”) 100-250 V,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przecinak szer. 20 mm, dł. całk. 150 mm </w:t>
            </w:r>
            <w:r>
              <w:rPr>
                <w:rFonts w:ascii="Symbol" w:hAnsi="Symbol"/>
                <w:sz w:val="16"/>
                <w:szCs w:val="16"/>
              </w:rPr>
              <w:t>±</w:t>
            </w:r>
            <w:r>
              <w:rPr>
                <w:rFonts w:ascii="Verdana" w:hAnsi="Verdana"/>
                <w:sz w:val="16"/>
                <w:szCs w:val="16"/>
              </w:rPr>
              <w:t xml:space="preserve"> 10 mm, utwardzany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dłuto stolarskie 12 mm, dł. całk. 250 mm </w:t>
            </w:r>
            <w:r>
              <w:rPr>
                <w:rFonts w:ascii="Symbol" w:hAnsi="Symbol"/>
                <w:sz w:val="16"/>
                <w:szCs w:val="16"/>
              </w:rPr>
              <w:t>±</w:t>
            </w:r>
            <w:r>
              <w:rPr>
                <w:rFonts w:ascii="Verdana" w:hAnsi="Verdana"/>
                <w:sz w:val="16"/>
                <w:szCs w:val="16"/>
              </w:rPr>
              <w:t xml:space="preserve"> 10 mm,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szpachelka szer. 30 - 40 mm,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piłka do metalu w uchwycie, dł. 15 cm.,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zapasowe ostrza do piłki do metalu,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5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nóż do szkła,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klucz nastawny „szwedzki” 8”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suwmiarka 150 mm z podziałką noniusza o dokładności min 0,1 mm,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taśma miernicza metalowa 2 m.,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taśma miernicza parciana z kołowrotkiem, 10 m,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rękawice robocze „nakrapiane”, rozmiar nr 8-9,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para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komplet kluczy i nasadek:</w:t>
              <w:br/>
              <w:t>-  pokrętło ręczne,</w:t>
              <w:br/>
              <w:t>-  adaptery, 3 szt.,</w:t>
              <w:br/>
              <w:t>-  klucze nasadkowe 4 – 13 mm, 12 szt</w:t>
              <w:br/>
              <w:t>-  bity H1, H2, H3, H4,</w:t>
            </w:r>
          </w:p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-  bity T10 T15, TT20, T25, </w:t>
            </w:r>
          </w:p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-  bity płaskie 4, 5, 6, 7 mm</w:t>
            </w:r>
          </w:p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-  bity PH1, PH2, PH3,</w:t>
            </w:r>
          </w:p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-  bity PZ1, PZ2, PZ3,</w:t>
              <w:br/>
              <w:t>-  klucze ampulowe 1,5 mm – 10 mm długie, 9 szt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Organizer daktyloskopijny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proszek daktyloskopijny argentorat, 30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proszek daktyloskopijny magnetyczny srebrny 30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proszek daktyloskopijny magnetyczny czarny, 30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proszek daktyloskopijny magnetyczny biały, 30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proszek daktyloskopijny antystatyczny srebrny, 30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proszek daktyloskopijny antystatyczny czarny 30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proszek daktyloskopijny bichromatyczny 30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proszek daktyloskopijny bichromatyczny magnetyczny 30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folia daktyloskopijna przezroczysta, w rolce szer. 5 cm i dł. 9,1 m.,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color w:val="FF0000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folia daktyloskopijna przezroczysta, w rolce szer. 10 cm i dł. 9,1 m.,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color w:val="FF0000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folia daktyloskopijna przezroczysta rozciągliwa, w rolce szer. 5 cm i dł. 9,1 m.,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color w:val="FF0000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poduszka daktyloskopijna do daktyloskopowania EZID300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łyżka do daktyloskopowania zwłok tzw "trupia łyżka"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rękawiczki bawełniane, rozmiar nr 8-9,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pary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tampony higieniczne, op. min 50 szt.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Organizer na pędzle daktyloskopijne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pędzel daktyloskopijny, płaski, szer. skuwki 2,5 cm,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pędzel daktyloskopijny z włókna szklanego, okrągły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pędzel-aplikator do proszków magnetycznych,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Organizer traseologiczny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ramka składana do wykonywania gipsowych i silikonowych odlewów, o wym. min 120 x 220 mm </w:t>
            </w:r>
            <w:r>
              <w:rPr>
                <w:rFonts w:ascii="Symbol" w:hAnsi="Symbol"/>
                <w:sz w:val="16"/>
                <w:szCs w:val="16"/>
              </w:rPr>
              <w:t>±</w:t>
            </w:r>
            <w:r>
              <w:rPr>
                <w:rFonts w:ascii="Verdana" w:hAnsi="Verdana"/>
                <w:sz w:val="16"/>
                <w:szCs w:val="16"/>
              </w:rPr>
              <w:t xml:space="preserve"> 20 mm i max 240 x 440 mm </w:t>
            </w:r>
            <w:r>
              <w:rPr>
                <w:rFonts w:ascii="Symbol" w:hAnsi="Symbol"/>
                <w:sz w:val="16"/>
                <w:szCs w:val="16"/>
              </w:rPr>
              <w:t>±</w:t>
            </w:r>
            <w:r>
              <w:rPr>
                <w:rFonts w:ascii="Verdana" w:hAnsi="Verdana"/>
                <w:sz w:val="16"/>
                <w:szCs w:val="16"/>
              </w:rPr>
              <w:t xml:space="preserve"> 20 mm,              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miseczka do mieszania gipsu i masy silikonowej,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spryskiwacz z atomizerem, poj. 200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olej silikonowy w aerozolu, min. 200 ml,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lakier w aerozolu, min. 200 ml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color w:val="FF0000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masa silikonowa „MIKROSIL”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plastikowa szpatułka do mieszania silikonu,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szpatułki drewniane,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5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fiolki plastikowe z korkiem, 1,5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10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słoiczki plastikowe zakręcane, 60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3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słoiczki plastikowe zakręcane, 120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3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Organizer na numerki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znaczniki – numery ewidencyjne dwustronne do sporządzania dokumentacji fotograficznej od 1-20, wym. 7 x 10 cm.,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znaczniki – numery ewidencyjne „magnetyczne” do sporządzania dokumentacji fotograficznej od 1-20, wym. 7 x 10 cm.,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znaczniki – strzałki „magnetyczne” do sporządzania dokumentacji fotograficznej, - 10 szt. w tym jedna z napisem „NORTH”,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znaczniki – strzałki dwustronne do sporządzania dokumentacji fotograficznej, - 10 szt. w tym jedna z napisem „NORTH”,.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znaczniki – skala fotograficzna plastikowa, z kątem prostym, 15/30 cm.,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Paleta w wieku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znaczniki – skala fotograficzna "magnetyczna" 50 cm.,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znaczniki – skala fotograficzna plastikowa 50 cm.,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podkładka z "klipsem" pod dokumenty,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probówki z korkiem, 10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probówki z korkiem, 15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color w:val="FF0000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dalmierz laserowy, zakres pomiaru min 50 m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termometr z wyświetlaczem ciekłokrystalicznym, zakres pomiaru – 50 °C do + 300 °C, dokładność odczytu 0,1 ºC, możliwość odczytu temperatury w ºC i ºF (do pomiaru temperatury otoczenia)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pędzel daktyloskopijny z puchu marabuta z aplikatorem w opakowaniu ochronnym typu „piórnik”,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kompas,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sączki z bibuły, 10 szt. w op,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kompresy z gazy jałowej, w opakowaniach po 3 sztuki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plastry opatrunkowe.,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szalki Petriego., śr. 50 mm,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Paleta uchylbna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folia daktyloskopijna przezroczysta, 13 x 18 cm., - 10 szt. w op.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folia daktyloskopijna czarna, 13 x 18 cm,  - 10 szt. w op.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folia daktyloskopijna biała, 13 x 18 cm,  - 10 szt. w op.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folia pozytywowa klejowa przeżroczysta, 10 x 15 cm,  - 10 szt. w op.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podkłady do folii negatywowej przeźroczyste, 10 x 15 cm,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10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podkłady do folii pozytywowej białe, 10 x 15 cm,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10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podkłady do folii pozytywowej czarne, 10 x 15 cm,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10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markery wodoodporne (różne kolory),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kreda specjalna wodoodporna do rysowania na murach, betonie, asfalcie,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nożyczki.,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taśma klejąca biurowa przezroczysta, rolka,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nóż techniczny,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komplet ostrzy do noża technicznego okr. w poz. 109,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scyzoryk, min 8 funkcji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oprawka do ostrzy ze stali chirurgicznej, Nr 3 lub 4,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ostrza chirurgiczne do oprawki okr. w poz. 112,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pinceta metalowa płaska ze stali chirurgicznej, 15 cm.,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pinceta metalowa spiczasta ze stali chirurgicznej, 15 cm.,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pinceta plastikowa zaokrąglona, 11 cm., 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2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szpatułka metalowa dwustronna ze stali nierdzewnej,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szkło powiększające śr. 50 mm, pow. x 5,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lusterko kątowe,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latarka diodowa tzw. "czołówka"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 xml:space="preserve">magnes z uchwytem, 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88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Dno walizki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organizer mechanoskopijny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organizer daktyloskopijny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organizer na pędzle daktyloskopijne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organizer traseologiczny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organizer na numerki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folia traseologiczna czarna, 13 x 36 cm, - 10 szt. w op.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op.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pudełka plastikowe z zamknięciem, poj. 250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3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pudełka plastikowe z zamknięciem, poj. 500 ml,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3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color w:val="FF0000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akumulatorowa latarka LED ładowalna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szt.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Verdana" w:hAnsi="Verdana"/>
                <w:color w:val="FF0000"/>
                <w:sz w:val="16"/>
                <w:szCs w:val="16"/>
              </w:rPr>
            </w:r>
          </w:p>
        </w:tc>
        <w:tc>
          <w:tcPr>
            <w:tcW w:type="dxa" w:w="82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</w:pPr>
            <w:r>
              <w:rPr>
                <w:rFonts w:ascii="Verdana" w:hAnsi="Verdana"/>
                <w:sz w:val="16"/>
                <w:szCs w:val="16"/>
              </w:rPr>
              <w:t>walizka z paletą w wieku i paletą uchylną</w:t>
            </w:r>
          </w:p>
        </w:tc>
        <w:tc>
          <w:tcPr>
            <w:tcW w:type="dxa" w:w="11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1 kpl.</w:t>
            </w:r>
          </w:p>
        </w:tc>
      </w:tr>
    </w:tbl>
    <w:p>
      <w:pPr>
        <w:pStyle w:val="style0"/>
        <w:spacing w:line="360" w:lineRule="auto"/>
        <w:jc w:val="both"/>
      </w:pPr>
      <w:r>
        <w:rPr>
          <w:rFonts w:ascii="Verdana" w:cs="Tahoma" w:hAnsi="Verdana"/>
          <w:sz w:val="16"/>
          <w:szCs w:val="16"/>
        </w:rPr>
      </w:r>
    </w:p>
    <w:p>
      <w:pPr>
        <w:pStyle w:val="style0"/>
        <w:spacing w:line="360" w:lineRule="auto"/>
      </w:pPr>
      <w:r>
        <w:rPr>
          <w:rFonts w:ascii="Verdana" w:cs="Tahoma" w:hAnsi="Verdana"/>
          <w:sz w:val="16"/>
          <w:szCs w:val="16"/>
        </w:rPr>
        <w:t>Wymiary wewnętrzne walizki – 51cm x 38cm x 19cm</w:t>
      </w:r>
    </w:p>
    <w:p>
      <w:pPr>
        <w:pStyle w:val="style0"/>
        <w:spacing w:line="360" w:lineRule="auto"/>
      </w:pPr>
      <w:r>
        <w:rPr>
          <w:rFonts w:ascii="Verdana" w:cs="Tahoma" w:hAnsi="Verdana"/>
          <w:sz w:val="16"/>
          <w:szCs w:val="16"/>
        </w:rPr>
        <w:t>Palety i organizery walizki muszą umożliwiać jej rozbudowę o inne pozostające w posiadaniu jednostki techniki kryminalistycznej elementy, do łącznej ilości 136 szt.</w:t>
      </w:r>
    </w:p>
    <w:p>
      <w:pPr>
        <w:pStyle w:val="style0"/>
        <w:spacing w:line="360" w:lineRule="auto"/>
        <w:jc w:val="both"/>
      </w:pPr>
      <w:r>
        <w:rPr>
          <w:rFonts w:ascii="Verdana" w:cs="Tahoma" w:hAnsi="Verdana"/>
          <w:sz w:val="16"/>
          <w:szCs w:val="16"/>
        </w:rPr>
      </w:r>
    </w:p>
    <w:p>
      <w:pPr>
        <w:pStyle w:val="style0"/>
        <w:jc w:val="both"/>
      </w:pPr>
      <w:r>
        <w:rPr/>
      </w:r>
    </w:p>
    <w:sectPr>
      <w:headerReference r:id="rId2" w:type="first"/>
      <w:footerReference r:id="rId3" w:type="first"/>
      <w:type w:val="nextPage"/>
      <w:pgSz w:h="16838" w:w="11906"/>
      <w:pgMar w:bottom="124" w:footer="67" w:gutter="0" w:header="426" w:left="1134" w:right="1134" w:top="1134"/>
      <w:pgNumType w:fmt="decimal"/>
      <w:formProt w:val="false"/>
      <w:titlePg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Symbol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ind w:hanging="1700" w:left="1416" w:right="-1134"/>
    </w:pPr>
    <w:r>
      <w:rPr/>
      <w:drawing>
        <wp:inline distB="0" distL="0" distR="0" distT="0">
          <wp:extent cx="6115050" cy="14605"/>
          <wp:effectExtent b="0" l="0" r="0" t="0"/>
          <wp:docPr descr="C:\Users\Piotr\Desktop\linia.wmf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Piotr\Desktop\linia.wmf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8"/>
      <w:ind w:hanging="1700" w:left="1416" w:right="-1134"/>
    </w:pPr>
    <w:r>
      <w:rPr/>
    </w:r>
  </w:p>
  <w:p>
    <w:pPr>
      <w:pStyle w:val="style28"/>
      <w:ind w:hanging="0" w:left="-1080" w:right="-1134"/>
    </w:pPr>
    <w:r>
      <w:rPr>
        <w:rFonts w:ascii="Calibri Light" w:hAnsi="Calibri Light"/>
        <w:sz w:val="16"/>
        <w:szCs w:val="16"/>
      </w:rPr>
      <w:t xml:space="preserve">  </w:t>
    </w:r>
  </w:p>
  <w:p>
    <w:pPr>
      <w:pStyle w:val="style28"/>
      <w:ind w:hanging="0" w:left="-1080" w:right="-1134"/>
    </w:pPr>
    <w:r>
      <w:rPr>
        <w:rFonts w:ascii="Calibri Light" w:hAnsi="Calibri Light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ind w:hanging="0" w:left="-1080" w:right="-1134"/>
      <w:jc w:val="center"/>
    </w:pPr>
    <w:r>
      <w:rPr/>
    </w:r>
  </w:p>
  <w:p>
    <w:pPr>
      <w:pStyle w:val="style27"/>
      <w:ind w:hanging="0" w:left="-1080" w:right="-1134"/>
      <w:jc w:val="both"/>
    </w:pPr>
    <w:r>
      <w:rPr/>
    </w:r>
  </w:p>
  <w:p>
    <w:pPr>
      <w:pStyle w:val="style27"/>
      <w:ind w:hanging="0" w:left="-1080" w:right="-1134"/>
      <w:jc w:val="both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0" w:left="0"/>
      </w:pPr>
      <w:rPr>
        <w:color w:val="00000A"/>
        <w:sz w:val="16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77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9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1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3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5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7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9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1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3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TrueTypeFonts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Stopka Znak"/>
    <w:basedOn w:val="style15"/>
    <w:next w:val="style17"/>
    <w:rPr>
      <w:sz w:val="24"/>
      <w:szCs w:val="24"/>
    </w:rPr>
  </w:style>
  <w:style w:styleId="style18" w:type="character">
    <w:name w:val="Tekst dymka Znak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Łącze internetowe"/>
    <w:basedOn w:val="style15"/>
    <w:next w:val="style19"/>
    <w:rPr>
      <w:color w:val="0563C1"/>
      <w:u w:val="single"/>
      <w:lang w:bidi="zxx-" w:eastAsia="zxx-" w:val="zxx-"/>
    </w:rPr>
  </w:style>
  <w:style w:styleId="style20" w:type="character">
    <w:name w:val="ListLabel 1"/>
    <w:next w:val="style20"/>
    <w:rPr>
      <w:rFonts w:cs="Times New Roman"/>
      <w:b w:val="false"/>
      <w:i w:val="false"/>
      <w:color w:val="00000A"/>
      <w:sz w:val="16"/>
    </w:rPr>
  </w:style>
  <w:style w:styleId="style21" w:type="character">
    <w:name w:val="ListLabel 2"/>
    <w:next w:val="style21"/>
    <w:rPr>
      <w:rFonts w:cs="Courier New"/>
    </w:rPr>
  </w:style>
  <w:style w:styleId="style22" w:type="paragraph">
    <w:name w:val="Nagłówek"/>
    <w:basedOn w:val="style0"/>
    <w:next w:val="style2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Treść tekstu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Główka"/>
    <w:basedOn w:val="style0"/>
    <w:next w:val="style27"/>
    <w:pPr>
      <w:tabs>
        <w:tab w:leader="none" w:pos="4536" w:val="center"/>
        <w:tab w:leader="none" w:pos="9072" w:val="right"/>
      </w:tabs>
    </w:pPr>
    <w:rPr/>
  </w:style>
  <w:style w:styleId="style28" w:type="paragraph">
    <w:name w:val="Stopka"/>
    <w:basedOn w:val="style0"/>
    <w:next w:val="style28"/>
    <w:pPr>
      <w:tabs>
        <w:tab w:leader="none" w:pos="4536" w:val="center"/>
        <w:tab w:leader="none" w:pos="9072" w:val="right"/>
      </w:tabs>
    </w:pPr>
    <w:rPr/>
  </w:style>
  <w:style w:styleId="style29" w:type="paragraph">
    <w:name w:val="Balloon Text"/>
    <w:basedOn w:val="style0"/>
    <w:next w:val="style29"/>
    <w:pPr/>
    <w:rPr>
      <w:rFonts w:ascii="Tahoma" w:cs="Tahoma" w:hAnsi="Tahoma"/>
      <w:sz w:val="16"/>
      <w:szCs w:val="16"/>
    </w:rPr>
  </w:style>
  <w:style w:styleId="style30" w:type="paragraph">
    <w:name w:val="List Paragraph"/>
    <w:basedOn w:val="style0"/>
    <w:next w:val="style30"/>
    <w:pPr>
      <w:ind w:hanging="0" w:left="720" w:right="0"/>
    </w:pPr>
    <w:rPr>
      <w:rFonts w:ascii="Calibri" w:eastAsia="Calibri" w:hAnsi="Calibri"/>
      <w:sz w:val="22"/>
      <w:szCs w:val="22"/>
    </w:rPr>
  </w:style>
  <w:style w:styleId="style31" w:type="paragraph">
    <w:name w:val="Zawartość ramki"/>
    <w:basedOn w:val="style23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TRANSFARM_2015.dotx</Template>
  <TotalTime>128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2017-10-23T11:12:00.00Z</dcterms:created>
  <dc:creator>Jan Stefanowicz</dc:creator>
  <cp:lastModifiedBy>Jan Stefanowicz</cp:lastModifiedBy>
  <cp:lastPrinted>2006-03-27T11:27:00.00Z</cp:lastPrinted>
  <dcterms:modified xsi:type="dcterms:W3CDTF">2017-10-23T13:37:00.00Z</dcterms:modified>
  <cp:revision>4</cp:revision>
  <dc:title>Warszawa, tu wpisz datę według formatu DD miesiąca RRRR r</dc:title>
</cp:coreProperties>
</file>