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28" w:rsidRDefault="00080D28">
      <w:pPr>
        <w:spacing w:after="184" w:line="247" w:lineRule="auto"/>
        <w:ind w:left="561" w:right="115" w:firstLine="0"/>
        <w:jc w:val="center"/>
        <w:rPr>
          <w:rFonts w:ascii="Calibri" w:eastAsia="Calibri" w:hAnsi="Calibri" w:cs="Calibri"/>
          <w:sz w:val="34"/>
        </w:rPr>
      </w:pPr>
      <w:bookmarkStart w:id="0" w:name="_GoBack"/>
      <w:bookmarkEnd w:id="0"/>
    </w:p>
    <w:p w:rsidR="00930107" w:rsidRPr="00FB5C74" w:rsidRDefault="00284AB0">
      <w:pPr>
        <w:spacing w:after="184" w:line="247" w:lineRule="auto"/>
        <w:ind w:left="561" w:right="115" w:firstLine="0"/>
        <w:jc w:val="center"/>
        <w:rPr>
          <w:b/>
          <w:szCs w:val="24"/>
        </w:rPr>
      </w:pPr>
      <w:r w:rsidRPr="00FB5C74">
        <w:rPr>
          <w:b/>
          <w:szCs w:val="24"/>
        </w:rPr>
        <w:t xml:space="preserve">Wykaz zagrożeń mogących wystąpić na terenie spółki, zasady postępowania </w:t>
      </w:r>
      <w:r w:rsidR="00FB5C74" w:rsidRPr="00FB5C74">
        <w:rPr>
          <w:b/>
          <w:szCs w:val="24"/>
        </w:rPr>
        <w:br/>
      </w:r>
      <w:r w:rsidRPr="00FB5C74">
        <w:rPr>
          <w:b/>
          <w:szCs w:val="24"/>
        </w:rPr>
        <w:t>w przypadku ich wystąpienia oraz działania ochronne i zapobiegawcze w tym zakresie.</w:t>
      </w:r>
    </w:p>
    <w:p w:rsidR="00930107" w:rsidRDefault="00284AB0">
      <w:pPr>
        <w:spacing w:after="234"/>
        <w:ind w:left="504" w:right="28" w:firstLine="353"/>
      </w:pPr>
      <w:r>
        <w:t>Zarząd OPEC-</w:t>
      </w:r>
      <w:r w:rsidR="00377770">
        <w:t>TERMO</w:t>
      </w:r>
      <w:r>
        <w:t xml:space="preserve"> Sp. z o.o., spełniając wymogi określone w art. 208 S 3 Kodeksu Pracy (Dz. U. z 1998 r. Nr 21 poz. 94) oraz mając na względzie ochronę życia i zdrowia ludzkiego, przekazuje ogólne informacje o zagrożeniach mogących wystąpić na terenie spółki przygotowane w oparciu o przesłanki zawarte w art. 207 </w:t>
      </w:r>
      <w:r>
        <w:rPr>
          <w:vertAlign w:val="superscript"/>
        </w:rPr>
        <w:t xml:space="preserve">1 </w:t>
      </w:r>
      <w:r>
        <w:t>Kodeksu Pracy.</w:t>
      </w:r>
    </w:p>
    <w:p w:rsidR="00930107" w:rsidRDefault="00284AB0">
      <w:pPr>
        <w:numPr>
          <w:ilvl w:val="0"/>
          <w:numId w:val="1"/>
        </w:numPr>
        <w:ind w:right="28" w:hanging="597"/>
      </w:pPr>
      <w:r>
        <w:t>Potencjalne, ogólne zagrożenia dla bezpieczeństwa i zdrowia pracowników firm zewnętrznych, podczas wykonywania przez nich prac, mogą być spowodowane przez:</w:t>
      </w:r>
    </w:p>
    <w:p w:rsidR="00377770" w:rsidRDefault="00377770" w:rsidP="00377770">
      <w:pPr>
        <w:ind w:left="851" w:right="28" w:firstLine="0"/>
      </w:pPr>
      <w:r>
        <w:t xml:space="preserve">1) </w:t>
      </w:r>
      <w:r w:rsidR="00284AB0">
        <w:t xml:space="preserve">zetknięcie się z elementami spadającymi z wysokości i wyrzucanymi pod ciśnieniem; </w:t>
      </w:r>
    </w:p>
    <w:p w:rsidR="00930107" w:rsidRDefault="00284AB0" w:rsidP="00377770">
      <w:pPr>
        <w:ind w:left="851" w:right="28" w:firstLine="0"/>
      </w:pPr>
      <w:r>
        <w:t>2) upadek z wysokości;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niewłaściwy i nieprzewidziany kontakt z urządzeniami technicznymi i instalacją technologiczną w ruchu;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zetkniecie się z ostrymi, wystającymi częściami maszyn, narzędzi, materiałów, konstrukcji;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szkodliwe działanie substancji i preparatów chemicznych;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pochwycenie, uderzenie przez maszyny, elektronarzędzia w ruchu;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porażenie i oparzenie prądem elektrycznym lub łukiem elektrycznym;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środki transportu poziomego i pionowego w ruchu;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oparzenia termiczne (para, woda, gorące powierzchnie);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promieniowanie nadfioletowe, podczerwone;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przemieszczane i dźwigane materiały (ręcznie i mechanicznie);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praca w niewygodnej lub wymuszonej pozycji ciała;</w:t>
      </w:r>
    </w:p>
    <w:p w:rsidR="00930107" w:rsidRDefault="00284AB0">
      <w:pPr>
        <w:numPr>
          <w:ilvl w:val="1"/>
          <w:numId w:val="2"/>
        </w:numPr>
        <w:ind w:left="1213" w:right="28" w:hanging="360"/>
      </w:pPr>
      <w:r>
        <w:t>pożar, wybuch, emisja szkodliwych dymów;</w:t>
      </w:r>
    </w:p>
    <w:p w:rsidR="00930107" w:rsidRDefault="00284AB0">
      <w:pPr>
        <w:numPr>
          <w:ilvl w:val="1"/>
          <w:numId w:val="2"/>
        </w:numPr>
        <w:spacing w:after="218"/>
        <w:ind w:left="1213" w:right="28" w:hanging="360"/>
      </w:pPr>
      <w:r>
        <w:t xml:space="preserve">pęknięcie, odkształcenie, obluzowanie, naruszenie elementów konstrukcji maszyn </w:t>
      </w:r>
      <w:r w:rsidR="00FB5C74">
        <w:br/>
      </w:r>
      <w:r>
        <w:t>i innych środków pracy, wzrost obciążenia doprowadzające do awarii.</w:t>
      </w:r>
    </w:p>
    <w:p w:rsidR="00930107" w:rsidRDefault="00284AB0">
      <w:pPr>
        <w:numPr>
          <w:ilvl w:val="0"/>
          <w:numId w:val="1"/>
        </w:numPr>
        <w:ind w:right="28" w:hanging="597"/>
      </w:pPr>
      <w:r>
        <w:t>Możliwe zagrożenia występujące na terenie spółki.</w:t>
      </w:r>
    </w:p>
    <w:p w:rsidR="00930107" w:rsidRDefault="00284AB0">
      <w:pPr>
        <w:ind w:left="830" w:right="28"/>
      </w:pPr>
      <w:r>
        <w:t>Na terenie spółki występują miejsca niebezpieczne dla tzw. „obcych”. Pracowników firm zewnętrznych obowiązuje zakaz wstępu do tych pomieszczeń/miejsc/stref, jeżeli zakres zleconych prac tego nie przewiduje, są to m. in.:</w:t>
      </w:r>
      <w:r>
        <w:rPr>
          <w:noProof/>
        </w:rPr>
        <w:drawing>
          <wp:inline distT="0" distB="0" distL="0" distR="0">
            <wp:extent cx="18277" cy="9140"/>
            <wp:effectExtent l="0" t="0" r="0" b="0"/>
            <wp:docPr id="15184" name="Picture 15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" name="Picture 151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107" w:rsidRDefault="00FB5C74" w:rsidP="00FB5C74">
      <w:pPr>
        <w:spacing w:after="195"/>
        <w:ind w:left="1109" w:right="28" w:hanging="353"/>
      </w:pPr>
      <w:r>
        <w:t xml:space="preserve">1) </w:t>
      </w:r>
      <w:r w:rsidR="00284AB0">
        <w:t xml:space="preserve">okolice instalacji, rurociągów ciśnieniowych, gdzie może nastąpić uszkodzenie połączeń kołnierzowych, spawanych, gwintowych, pęknięcie, wyrzut pary; </w:t>
      </w:r>
      <w:r w:rsidR="00284AB0">
        <w:drawing>
          <wp:inline distT="0" distB="0" distL="0" distR="0">
            <wp:extent cx="4569" cy="4569"/>
            <wp:effectExtent l="0" t="0" r="0" b="0"/>
            <wp:docPr id="1986" name="Picture 1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" name="Picture 19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107" w:rsidRDefault="00284AB0">
      <w:pPr>
        <w:spacing w:after="195"/>
        <w:ind w:left="1109" w:right="28" w:hanging="353"/>
      </w:pPr>
      <w:r>
        <w:t>2) miejsca wykonywania prac remontowych, budowlanych, montażowych wykonywanych przez pracowników spółki lub inne firmy zewnętrzne.</w:t>
      </w:r>
    </w:p>
    <w:p w:rsidR="00930107" w:rsidRDefault="00684746" w:rsidP="00684746">
      <w:pPr>
        <w:tabs>
          <w:tab w:val="center" w:pos="5077"/>
        </w:tabs>
        <w:ind w:left="851" w:hanging="567"/>
        <w:jc w:val="left"/>
      </w:pPr>
      <w:r w:rsidRPr="00684746">
        <w:rPr>
          <w:sz w:val="28"/>
          <w:szCs w:val="28"/>
        </w:rPr>
        <w:t>III</w:t>
      </w:r>
      <w:r w:rsidR="00284AB0" w:rsidRPr="00684746">
        <w:rPr>
          <w:sz w:val="28"/>
          <w:szCs w:val="28"/>
        </w:rPr>
        <w:t>.</w:t>
      </w:r>
      <w:r w:rsidR="00284AB0">
        <w:tab/>
        <w:t>Możliwe niebezpieczne zagrożenia przy wykonywaniu prac na sieciach ciepłowniczych:</w:t>
      </w:r>
    </w:p>
    <w:p w:rsidR="00930107" w:rsidRDefault="00284AB0">
      <w:pPr>
        <w:ind w:left="852" w:right="28"/>
      </w:pPr>
      <w:r>
        <w:t>1) praca w wykopach poniżej 1 m (możliwość obsunięcia skarpy) — zabezpieczenie</w:t>
      </w:r>
    </w:p>
    <w:p w:rsidR="00930107" w:rsidRDefault="00284AB0">
      <w:pPr>
        <w:ind w:left="1190" w:right="28"/>
      </w:pPr>
      <w:r>
        <w:t>- szalowanie lub skarpowanie wykopu;</w:t>
      </w:r>
    </w:p>
    <w:p w:rsidR="00930107" w:rsidRDefault="00284AB0">
      <w:pPr>
        <w:numPr>
          <w:ilvl w:val="1"/>
          <w:numId w:val="4"/>
        </w:numPr>
        <w:ind w:left="1188" w:right="94" w:hanging="353"/>
      </w:pPr>
      <w:r>
        <w:t xml:space="preserve">prace ziemne w terenie uzbrojonym (kable energetyczne, sieci gazowe itd.) </w:t>
      </w:r>
      <w:r>
        <w:rPr>
          <w:noProof/>
        </w:rPr>
        <w:drawing>
          <wp:inline distT="0" distB="0" distL="0" distR="0">
            <wp:extent cx="45692" cy="18280"/>
            <wp:effectExtent l="0" t="0" r="0" b="0"/>
            <wp:docPr id="1987" name="Picture 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Picture 19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439FA">
        <w:t>wy</w:t>
      </w:r>
      <w:r>
        <w:t>konać pełne rozeznanie geodezyjne, postępować zgodnie z wydanymi warunkami gestorów mediów;</w:t>
      </w:r>
    </w:p>
    <w:p w:rsidR="00930107" w:rsidRDefault="00284AB0">
      <w:pPr>
        <w:numPr>
          <w:ilvl w:val="1"/>
          <w:numId w:val="4"/>
        </w:numPr>
        <w:spacing w:after="27"/>
        <w:ind w:left="1188" w:right="94" w:hanging="353"/>
      </w:pPr>
      <w:r>
        <w:t>praca w komorach ciepłowniczych (zagrożenia: metan, siarkowodór, tlenek węgla, brak tlenu, wysoka temperatura) - sprawdzenie detektorem gazu stężenia gazu; wentylacja komory; asekuracja osoby wykonującej prace;</w:t>
      </w:r>
    </w:p>
    <w:p w:rsidR="00930107" w:rsidRDefault="00284AB0">
      <w:pPr>
        <w:numPr>
          <w:ilvl w:val="1"/>
          <w:numId w:val="4"/>
        </w:numPr>
        <w:spacing w:after="188"/>
        <w:ind w:left="1188" w:right="94" w:hanging="353"/>
      </w:pPr>
      <w:r>
        <w:t>perforacja rurociągu z powodu korozji, zmęczenia materiału kontakt z czynnikiem powyżej 50</w:t>
      </w:r>
      <w:r>
        <w:rPr>
          <w:vertAlign w:val="superscript"/>
        </w:rPr>
        <w:t>0</w:t>
      </w:r>
      <w:r>
        <w:t>C - oddalić się od miejsca zagrożenia.</w:t>
      </w:r>
    </w:p>
    <w:p w:rsidR="00930107" w:rsidRDefault="00284AB0">
      <w:pPr>
        <w:numPr>
          <w:ilvl w:val="0"/>
          <w:numId w:val="3"/>
        </w:numPr>
        <w:ind w:right="28" w:hanging="691"/>
      </w:pPr>
      <w:r>
        <w:lastRenderedPageBreak/>
        <w:t>Możliwymi, bardzo groźnymi zagrożeniami na terenie OPEC-</w:t>
      </w:r>
      <w:r w:rsidR="00684746">
        <w:t>TERMO</w:t>
      </w:r>
      <w:r>
        <w:t xml:space="preserve"> Sp. z o.o. są :</w:t>
      </w:r>
    </w:p>
    <w:p w:rsidR="00930107" w:rsidRDefault="00284AB0">
      <w:pPr>
        <w:spacing w:after="0" w:line="259" w:lineRule="auto"/>
        <w:ind w:left="14" w:firstLine="0"/>
        <w:jc w:val="center"/>
      </w:pPr>
      <w:r>
        <w:t xml:space="preserve">l) </w:t>
      </w:r>
      <w:r>
        <w:rPr>
          <w:u w:val="single" w:color="000000"/>
        </w:rPr>
        <w:t>Rozerwanie rurociągu wodnego z czynnikiem o temperaturze powyżej 50</w:t>
      </w:r>
      <w:r>
        <w:rPr>
          <w:vertAlign w:val="superscript"/>
        </w:rPr>
        <w:t>0</w:t>
      </w:r>
      <w:r>
        <w:rPr>
          <w:u w:val="single" w:color="000000"/>
        </w:rPr>
        <w:t>C.</w:t>
      </w:r>
    </w:p>
    <w:p w:rsidR="00930107" w:rsidRDefault="00284AB0">
      <w:pPr>
        <w:spacing w:after="183"/>
        <w:ind w:left="1262" w:right="28"/>
      </w:pPr>
      <w:r>
        <w:t>Możliwe przyczyny (uderzenie wodne, korozja zmęczeniowa, naprężeniowa, zmęczenie cieplne) zerwanie rurociągu, erozja materiału. Należy niezwłocznie oddalić się na bezpieczną odległość z miejsca, w którym nastąpiło rozerwanie rurociągu wodnego. Powiadomić o zaistniałej sytuacji Dyżurnego Dyspozytora, który natychmiast dokona wyłączenia części uszkodzonego rurociągu (w miarę możliwości) Pod żadnym pozorem nie zbliżać się do miejsca awarii.</w:t>
      </w:r>
    </w:p>
    <w:p w:rsidR="00930107" w:rsidRDefault="00284AB0">
      <w:pPr>
        <w:numPr>
          <w:ilvl w:val="0"/>
          <w:numId w:val="3"/>
        </w:numPr>
        <w:spacing w:after="305"/>
        <w:ind w:right="28" w:hanging="691"/>
      </w:pPr>
      <w:r>
        <w:t xml:space="preserve">Każda firma zewnętrzna ma obowiązek organizowania, przygotowania i kierowania pracami w sposób zabezpieczający przed wypadkiem przy pracy, zgodnie </w:t>
      </w:r>
      <w:r w:rsidR="005261C9">
        <w:br/>
      </w:r>
      <w:r>
        <w:t>z obowiązującymi przepisami bezpieczeństwa i higieny pracy, z zastosowaniem sprawnych technicznie środków pracy i ochron osobistych.</w:t>
      </w:r>
    </w:p>
    <w:p w:rsidR="00930107" w:rsidRDefault="00284AB0">
      <w:pPr>
        <w:numPr>
          <w:ilvl w:val="0"/>
          <w:numId w:val="3"/>
        </w:numPr>
        <w:spacing w:after="216"/>
        <w:ind w:right="28" w:hanging="691"/>
      </w:pPr>
      <w:r>
        <w:t xml:space="preserve">Firma zewnętrzna jest odpowiedzialna za przeszkolenie pracowników w zakresie bhp </w:t>
      </w:r>
      <w:r w:rsidR="005261C9">
        <w:br/>
      </w:r>
      <w:r>
        <w:t>i p.poż. Zapewnia, aby pracownik dopuszczony do pracy posiadał wymagane kwalifikacje, potrzebne umiejętności, dostateczną znajomość przepisów i zasad bhp i p.poż. oraz zagrożeń w zakresie wykonywanych prac, a także wszelkie niezbędne środki ochrony osobistej.</w:t>
      </w:r>
    </w:p>
    <w:p w:rsidR="00930107" w:rsidRDefault="00284AB0" w:rsidP="00FB5C74">
      <w:pPr>
        <w:numPr>
          <w:ilvl w:val="0"/>
          <w:numId w:val="3"/>
        </w:numPr>
        <w:spacing w:after="211"/>
        <w:ind w:right="28" w:hanging="691"/>
      </w:pPr>
      <w:r>
        <w:t xml:space="preserve">W </w:t>
      </w:r>
      <w:r w:rsidR="00FB5C74" w:rsidRPr="00FB5C74">
        <w:t>OPEC-TERMO Sp. z o.o</w:t>
      </w:r>
      <w:r>
        <w:t>. zlecone prace, prowadzone w czynnych obiektach energetycznych, w pobliżu czynnych obiektów energetycznych, prace budowlane, montażowe, remontowe muszą być prowadzone i koordynowane zgodnie z zasadami organizacji, na polecenie pisemne wystawiane przez wyznaczone osoby dozoru spółki.</w:t>
      </w:r>
    </w:p>
    <w:p w:rsidR="00930107" w:rsidRDefault="00284AB0">
      <w:pPr>
        <w:numPr>
          <w:ilvl w:val="0"/>
          <w:numId w:val="3"/>
        </w:numPr>
        <w:spacing w:after="192"/>
        <w:ind w:right="28" w:hanging="691"/>
      </w:pPr>
      <w:r>
        <w:t>Organizacja pracy i miejsca jej wykonywania, przechowywania materiałów i środków pracy nie powinna w żaden sposób stanowić zagrożenia dla obiektów i pracowników spółki ani ograniczać dróg komunikacyjnych i ewakuacyjnych.</w:t>
      </w:r>
    </w:p>
    <w:p w:rsidR="00930107" w:rsidRDefault="00284AB0">
      <w:pPr>
        <w:numPr>
          <w:ilvl w:val="0"/>
          <w:numId w:val="3"/>
        </w:numPr>
        <w:spacing w:after="202"/>
        <w:ind w:right="28" w:hanging="691"/>
      </w:pPr>
      <w:r>
        <w:t>Jeżeli zagrożenia mogą wystąpić, przedstawiciel firmy zewnętrznej jest zobowiązany do przekazania tych informacji przedstawicielowi spółki i podjęcie wszelkich działań zmierzających do ograniczenia zagrożeń.</w:t>
      </w:r>
    </w:p>
    <w:p w:rsidR="00930107" w:rsidRDefault="00284AB0">
      <w:pPr>
        <w:numPr>
          <w:ilvl w:val="0"/>
          <w:numId w:val="3"/>
        </w:numPr>
        <w:spacing w:after="181"/>
        <w:ind w:right="28" w:hanging="691"/>
      </w:pPr>
      <w:r>
        <w:t>Wymagana jest właściwa organizacja i koordynacja robót oraz współpraca i przepływ informacji między wyznaczonymi z obu stron - osobami do koordynacji.</w:t>
      </w:r>
    </w:p>
    <w:p w:rsidR="00930107" w:rsidRDefault="00284AB0">
      <w:pPr>
        <w:numPr>
          <w:ilvl w:val="0"/>
          <w:numId w:val="3"/>
        </w:numPr>
        <w:spacing w:after="211"/>
        <w:ind w:right="28" w:hanging="691"/>
      </w:pPr>
      <w:r>
        <w:t>Firma zewnętrzna. jest zobowiązana do posiadania: apteczek, środków łączności oraz niezbędnego sprzętu p. poż. - jeżeli wykonuje prace, które mogą stanowić zagrożenie pożarowe.</w:t>
      </w:r>
    </w:p>
    <w:p w:rsidR="00930107" w:rsidRDefault="00284AB0">
      <w:pPr>
        <w:numPr>
          <w:ilvl w:val="0"/>
          <w:numId w:val="3"/>
        </w:numPr>
        <w:spacing w:after="201"/>
        <w:ind w:right="28" w:hanging="691"/>
      </w:pPr>
      <w:r>
        <w:t>Koordynator umowy ze strony spółki odpowiedzialny jest za przekazanie pracownikom firmy zewnętrznej informacji w zakresie rozmieszczenia sprzętu p.po</w:t>
      </w:r>
      <w:r w:rsidR="00684746">
        <w:t>ż</w:t>
      </w:r>
      <w:r>
        <w:t>., apteczek pierwszej pomocy, defibrylatorów, telefonów w sąsiedztwie prowadzonych prac, będących na wyposażeniu spółki.</w:t>
      </w:r>
    </w:p>
    <w:p w:rsidR="00930107" w:rsidRDefault="00284AB0">
      <w:pPr>
        <w:numPr>
          <w:ilvl w:val="0"/>
          <w:numId w:val="3"/>
        </w:numPr>
        <w:ind w:right="28" w:hanging="691"/>
      </w:pPr>
      <w:r>
        <w:t>Pracownikami spółki wyznaczonymi do wykonywania czynności w zakresie ewakuacji pracowników i zwalczania pożarów są:</w:t>
      </w:r>
    </w:p>
    <w:p w:rsidR="00930107" w:rsidRDefault="00284AB0">
      <w:pPr>
        <w:spacing w:after="213"/>
        <w:ind w:left="701" w:right="28"/>
      </w:pPr>
      <w:r w:rsidRPr="00FB5C74">
        <w:t>Zbigniew Szymański — Kierownik tel. wew. 116 kom. 506 007 975</w:t>
      </w:r>
    </w:p>
    <w:p w:rsidR="00930107" w:rsidRDefault="00284AB0">
      <w:pPr>
        <w:numPr>
          <w:ilvl w:val="0"/>
          <w:numId w:val="3"/>
        </w:numPr>
        <w:ind w:right="28" w:hanging="691"/>
      </w:pPr>
      <w:r>
        <w:t>Poniżej zamieszczono wykaz pracowników OPEC-</w:t>
      </w:r>
      <w:r w:rsidR="00377770">
        <w:t>TERMO</w:t>
      </w:r>
      <w:r>
        <w:t xml:space="preserve"> Sp. z o.o. przeszkolonych </w:t>
      </w:r>
      <w:r w:rsidR="00FB5C74">
        <w:br/>
      </w:r>
      <w:r>
        <w:t>i wyznaczonych do udzielania pierwszej pomocy przedlekarskiej.</w:t>
      </w:r>
    </w:p>
    <w:p w:rsidR="00930107" w:rsidRPr="00377770" w:rsidRDefault="00930107" w:rsidP="00FB5C74">
      <w:pPr>
        <w:pStyle w:val="Nagwek1"/>
        <w:ind w:left="0" w:firstLine="0"/>
        <w:rPr>
          <w:highlight w:val="yellow"/>
        </w:rPr>
        <w:sectPr w:rsidR="00930107" w:rsidRPr="00377770" w:rsidSect="00377770">
          <w:footerReference w:type="even" r:id="rId10"/>
          <w:footerReference w:type="default" r:id="rId11"/>
          <w:footerReference w:type="first" r:id="rId12"/>
          <w:pgSz w:w="11902" w:h="16834"/>
          <w:pgMar w:top="864" w:right="1389" w:bottom="1355" w:left="943" w:header="708" w:footer="900" w:gutter="0"/>
          <w:pgNumType w:start="1"/>
          <w:cols w:space="708"/>
        </w:sectPr>
      </w:pPr>
    </w:p>
    <w:p w:rsidR="00930107" w:rsidRPr="00377770" w:rsidRDefault="00930107" w:rsidP="00FB5C74">
      <w:pPr>
        <w:spacing w:after="298"/>
        <w:ind w:left="0" w:right="28" w:firstLine="0"/>
        <w:rPr>
          <w:highlight w:val="yellow"/>
        </w:rPr>
      </w:pPr>
    </w:p>
    <w:p w:rsidR="00930107" w:rsidRPr="00FB5C74" w:rsidRDefault="00284AB0">
      <w:pPr>
        <w:pStyle w:val="Nagwek1"/>
        <w:ind w:left="9"/>
      </w:pPr>
      <w:r w:rsidRPr="00FB5C74">
        <w:t xml:space="preserve">Zaplecze biurowe przy warsztatach </w:t>
      </w:r>
      <w:r w:rsidR="00FB5C74" w:rsidRPr="00FB5C74">
        <w:t>OPEC-TERMO</w:t>
      </w:r>
    </w:p>
    <w:p w:rsidR="00930107" w:rsidRPr="00FB5C74" w:rsidRDefault="00284AB0">
      <w:pPr>
        <w:ind w:left="24" w:right="28"/>
      </w:pPr>
      <w:r w:rsidRPr="00FB5C74">
        <w:rPr>
          <w:rFonts w:ascii="Calibri" w:eastAsia="Calibri" w:hAnsi="Calibri" w:cs="Calibri"/>
        </w:rPr>
        <w:t>Zbigniew Szymański — Kierownik WWI</w:t>
      </w:r>
    </w:p>
    <w:p w:rsidR="00FB5C74" w:rsidRPr="00FB5C74" w:rsidRDefault="00FB5C74">
      <w:pPr>
        <w:pStyle w:val="Nagwek1"/>
        <w:ind w:left="9"/>
      </w:pPr>
    </w:p>
    <w:p w:rsidR="00930107" w:rsidRPr="00FB5C74" w:rsidRDefault="00284AB0">
      <w:pPr>
        <w:pStyle w:val="Nagwek1"/>
        <w:ind w:left="9"/>
      </w:pPr>
      <w:r w:rsidRPr="00FB5C74">
        <w:t xml:space="preserve">Warsztaty </w:t>
      </w:r>
      <w:r w:rsidR="00FB5C74" w:rsidRPr="00FB5C74">
        <w:t>OPEC-TERMO</w:t>
      </w:r>
      <w:r w:rsidRPr="00FB5C74">
        <w:t xml:space="preserve"> , praca w terenie</w:t>
      </w:r>
    </w:p>
    <w:p w:rsidR="00930107" w:rsidRPr="00FB5C74" w:rsidRDefault="00284AB0">
      <w:pPr>
        <w:ind w:left="24" w:right="28"/>
      </w:pPr>
      <w:r w:rsidRPr="00FB5C74">
        <w:rPr>
          <w:rFonts w:ascii="Calibri" w:eastAsia="Calibri" w:hAnsi="Calibri" w:cs="Calibri"/>
        </w:rPr>
        <w:t>Sławomir Iwanowski — Monter - spawacz</w:t>
      </w:r>
    </w:p>
    <w:p w:rsidR="00930107" w:rsidRPr="00FB5C74" w:rsidRDefault="00284AB0">
      <w:pPr>
        <w:spacing w:after="287"/>
        <w:ind w:left="24" w:right="28"/>
      </w:pPr>
      <w:r w:rsidRPr="00FB5C74">
        <w:rPr>
          <w:rFonts w:ascii="Calibri" w:eastAsia="Calibri" w:hAnsi="Calibri" w:cs="Calibri"/>
        </w:rPr>
        <w:t>Henryk Bossmann — Monter — spawacz</w:t>
      </w:r>
    </w:p>
    <w:p w:rsidR="00930107" w:rsidRDefault="00930107" w:rsidP="00284AB0">
      <w:pPr>
        <w:spacing w:after="0" w:line="259" w:lineRule="auto"/>
        <w:ind w:left="-1440" w:right="10462" w:firstLine="0"/>
        <w:jc w:val="left"/>
      </w:pPr>
    </w:p>
    <w:sectPr w:rsidR="00930107">
      <w:footerReference w:type="even" r:id="rId13"/>
      <w:footerReference w:type="default" r:id="rId14"/>
      <w:footerReference w:type="first" r:id="rId15"/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04" w:rsidRDefault="00284AB0">
      <w:pPr>
        <w:spacing w:after="0" w:line="240" w:lineRule="auto"/>
      </w:pPr>
      <w:r>
        <w:separator/>
      </w:r>
    </w:p>
  </w:endnote>
  <w:endnote w:type="continuationSeparator" w:id="0">
    <w:p w:rsidR="00EE2104" w:rsidRDefault="0028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07" w:rsidRDefault="00284AB0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07" w:rsidRDefault="00284AB0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1C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07" w:rsidRDefault="00284AB0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07" w:rsidRDefault="0093010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07" w:rsidRDefault="0093010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07" w:rsidRDefault="0093010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04" w:rsidRDefault="00284AB0">
      <w:pPr>
        <w:spacing w:after="0" w:line="240" w:lineRule="auto"/>
      </w:pPr>
      <w:r>
        <w:separator/>
      </w:r>
    </w:p>
  </w:footnote>
  <w:footnote w:type="continuationSeparator" w:id="0">
    <w:p w:rsidR="00EE2104" w:rsidRDefault="0028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413"/>
    <w:multiLevelType w:val="hybridMultilevel"/>
    <w:tmpl w:val="B6767B3E"/>
    <w:lvl w:ilvl="0" w:tplc="5B3C9D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AD8B2">
      <w:start w:val="3"/>
      <w:numFmt w:val="decimal"/>
      <w:lvlText w:val="%2)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6CEAA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CDA02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BBE0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92E0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2C238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A84B2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8A594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A72D3"/>
    <w:multiLevelType w:val="hybridMultilevel"/>
    <w:tmpl w:val="978EBD80"/>
    <w:lvl w:ilvl="0" w:tplc="890E7B26">
      <w:start w:val="1"/>
      <w:numFmt w:val="upperRoman"/>
      <w:lvlText w:val="%1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69706">
      <w:start w:val="50"/>
      <w:numFmt w:val="lowerRoman"/>
      <w:lvlText w:val="%2)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90C54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ACC3B6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006EC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DABE0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A41838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FEF0F4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30F08E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612C3D"/>
    <w:multiLevelType w:val="hybridMultilevel"/>
    <w:tmpl w:val="F18C2CB4"/>
    <w:lvl w:ilvl="0" w:tplc="6BEE1078">
      <w:start w:val="4"/>
      <w:numFmt w:val="upperRoman"/>
      <w:lvlText w:val="%1."/>
      <w:lvlJc w:val="left"/>
      <w:pPr>
        <w:ind w:left="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E6F210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8A6286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CE25EC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96BC46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169E6E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EAE56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9AD5F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6A0AC2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5269C8"/>
    <w:multiLevelType w:val="hybridMultilevel"/>
    <w:tmpl w:val="F6D00EE2"/>
    <w:lvl w:ilvl="0" w:tplc="4D8C6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70A01C">
      <w:start w:val="2"/>
      <w:numFmt w:val="decimal"/>
      <w:lvlRestart w:val="0"/>
      <w:lvlText w:val="%2)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22C58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B051F0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E48FF0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E2208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46F6A6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463130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FE182E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07"/>
    <w:rsid w:val="00080D28"/>
    <w:rsid w:val="00284AB0"/>
    <w:rsid w:val="00377770"/>
    <w:rsid w:val="005261C9"/>
    <w:rsid w:val="0067253C"/>
    <w:rsid w:val="006828B4"/>
    <w:rsid w:val="00684746"/>
    <w:rsid w:val="00930107"/>
    <w:rsid w:val="00A439FA"/>
    <w:rsid w:val="00EE2104"/>
    <w:rsid w:val="00F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6F9FFE-7130-48D7-83E8-0071715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606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499" w:hanging="10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7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4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OPEC" ma:contentTypeID="0x0101000F0F25E995C1A742BC7F410666DE0F28003DC52ACBA1BA4A4386D070C6AA90EC41" ma:contentTypeVersion="0" ma:contentTypeDescription="" ma:contentTypeScope="" ma:versionID="0b06cef6222dfb3430a019616b41990a">
  <xsd:schema xmlns:xsd="http://www.w3.org/2001/XMLSchema" xmlns:xs="http://www.w3.org/2001/XMLSchema" xmlns:p="http://schemas.microsoft.com/office/2006/metadata/properties" xmlns:ns2="98b75994-3813-4452-82cd-2c958b12832c" targetNamespace="http://schemas.microsoft.com/office/2006/metadata/properties" ma:root="true" ma:fieldsID="4bf31f6c7f06dded64a8657b5b1fb494" ns2:_="">
    <xsd:import namespace="98b75994-3813-4452-82cd-2c958b12832c"/>
    <xsd:element name="properties">
      <xsd:complexType>
        <xsd:sequence>
          <xsd:element name="documentManagement">
            <xsd:complexType>
              <xsd:all>
                <xsd:element ref="ns2:Osoby_x0020_powiadamiane" minOccurs="0"/>
                <xsd:element ref="ns2:Osoba_x0020_opiniująca" minOccurs="0"/>
                <xsd:element ref="ns2:Archiwum" minOccurs="0"/>
                <xsd:element ref="ns2:Uw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75994-3813-4452-82cd-2c958b12832c" elementFormDefault="qualified">
    <xsd:import namespace="http://schemas.microsoft.com/office/2006/documentManagement/types"/>
    <xsd:import namespace="http://schemas.microsoft.com/office/infopath/2007/PartnerControls"/>
    <xsd:element name="Osoby_x0020_powiadamiane" ma:index="2" nillable="true" ma:displayName="Osoby powiadamiane" ma:list="UserInfo" ma:SharePointGroup="0" ma:internalName="Osoby_x0020_powiadamian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a_x0020_opiniująca" ma:index="3" nillable="true" ma:displayName="Osoba opiniująca" ma:list="UserInfo" ma:SharePointGroup="0" ma:internalName="Osoba_x0020_opiniuj_x0105_c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wum" ma:index="4" nillable="true" ma:displayName="Archiwum" ma:default="0" ma:internalName="Archiwum0">
      <xsd:simpleType>
        <xsd:restriction base="dms:Boolean"/>
      </xsd:simpleType>
    </xsd:element>
    <xsd:element name="Uwagi" ma:index="5" nillable="true" ma:displayName="Uwagi" ma:internalName="Uwag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98b75994-3813-4452-82cd-2c958b12832c" xsi:nil="true"/>
    <Archiwum xmlns="98b75994-3813-4452-82cd-2c958b12832c">false</Archiwum>
    <Osoby_x0020_powiadamiane xmlns="98b75994-3813-4452-82cd-2c958b12832c">
      <UserInfo>
        <DisplayName/>
        <AccountId xsi:nil="true"/>
        <AccountType/>
      </UserInfo>
    </Osoby_x0020_powiadamiane>
    <Osoba_x0020_opiniująca xmlns="98b75994-3813-4452-82cd-2c958b12832c">
      <UserInfo>
        <DisplayName/>
        <AccountId xsi:nil="true"/>
        <AccountType/>
      </UserInfo>
    </Osoba_x0020_opiniująca>
  </documentManagement>
</p:properties>
</file>

<file path=customXml/itemProps1.xml><?xml version="1.0" encoding="utf-8"?>
<ds:datastoreItem xmlns:ds="http://schemas.openxmlformats.org/officeDocument/2006/customXml" ds:itemID="{1D9DA7C6-FC2A-4142-BEF0-8C31A71B4BD9}"/>
</file>

<file path=customXml/itemProps2.xml><?xml version="1.0" encoding="utf-8"?>
<ds:datastoreItem xmlns:ds="http://schemas.openxmlformats.org/officeDocument/2006/customXml" ds:itemID="{6C35E5EC-29AF-4B22-A7FD-4A90FF596B96}"/>
</file>

<file path=customXml/itemProps3.xml><?xml version="1.0" encoding="utf-8"?>
<ds:datastoreItem xmlns:ds="http://schemas.openxmlformats.org/officeDocument/2006/customXml" ds:itemID="{0A3E154F-C685-4BE1-9709-A55645FFD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develop1biur-20171124142100</vt:lpstr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develop1biur-20171124142100</dc:title>
  <dc:subject/>
  <dc:creator>Paweł Hara</dc:creator>
  <cp:keywords/>
  <cp:lastModifiedBy>Michał Mularczyk</cp:lastModifiedBy>
  <cp:revision>2</cp:revision>
  <dcterms:created xsi:type="dcterms:W3CDTF">2020-01-29T10:04:00Z</dcterms:created>
  <dcterms:modified xsi:type="dcterms:W3CDTF">2020-01-29T10:04:00Z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0x0101000F0F25E995C1A742BC7F410666DE0F28003DC52ACBA1BA4A4386D070C6AA90EC41</vt:lpwstr>
  </property>
</Properties>
</file>