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  <w:t>ZPA.271.</w:t>
      </w:r>
      <w:r>
        <w:rPr>
          <w:rFonts w:eastAsia="Times New Roman" w:cs="Arial" w:ascii="Verdana" w:hAnsi="Verdana"/>
          <w:sz w:val="22"/>
          <w:szCs w:val="22"/>
          <w:lang w:eastAsia="pl-PL"/>
        </w:rPr>
        <w:t>5</w:t>
      </w:r>
      <w:r>
        <w:rPr>
          <w:rFonts w:eastAsia="Times New Roman" w:cs="Arial" w:ascii="Verdana" w:hAnsi="Verdana"/>
          <w:sz w:val="22"/>
          <w:szCs w:val="22"/>
          <w:lang w:eastAsia="pl-PL"/>
        </w:rPr>
        <w:t xml:space="preserve">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07.04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   </w:t>
      </w: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bCs w:val="false"/>
          <w:sz w:val="22"/>
          <w:szCs w:val="22"/>
        </w:rPr>
        <w:t>Dotyczy postępowania pn.:</w:t>
      </w:r>
      <w:r>
        <w:rPr>
          <w:rFonts w:eastAsia="Calibri" w:cs="Arial" w:ascii="Verdana" w:hAnsi="Verdana"/>
          <w:sz w:val="22"/>
          <w:szCs w:val="22"/>
        </w:rPr>
        <w:t xml:space="preserve"> </w:t>
      </w:r>
      <w:r>
        <w:rPr>
          <w:rFonts w:eastAsia="Calibri" w:cs="Times New Roman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„Przebudowa dróg gminnych: ul. Nadstawna, Żytnia, Wojska Polskiego, Wyrykowska oraz budowa drogi wewnętrznej wraz z parkingiem przy ulicy Pocztowej we Włodawie</w:t>
      </w:r>
      <w:r>
        <w:rPr>
          <w:rFonts w:eastAsia="Calibri" w:cs="Arial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Zamawiający informuje, że w terminie określonym zgodnie z art. 284 ust. 2 ustawy z 11 września 2019 r. – Prawo zamówień publicznych (Dz.U.  z 2021 poz. 1129 ze zm.) – dalej: ustawa Pzp, wykonawca w dniu 0</w:t>
      </w:r>
      <w:r>
        <w:rPr>
          <w:rFonts w:eastAsia="Calibri" w:cs="Arial" w:ascii="Verdana" w:hAnsi="Verdana"/>
          <w:sz w:val="22"/>
          <w:szCs w:val="22"/>
        </w:rPr>
        <w:t>6</w:t>
      </w:r>
      <w:r>
        <w:rPr>
          <w:rFonts w:eastAsia="Calibri" w:cs="Arial" w:ascii="Verdana" w:hAnsi="Verdana"/>
          <w:sz w:val="22"/>
          <w:szCs w:val="22"/>
        </w:rPr>
        <w:t>.0</w:t>
      </w:r>
      <w:r>
        <w:rPr>
          <w:rFonts w:eastAsia="Calibri" w:cs="Arial" w:ascii="Verdana" w:hAnsi="Verdana"/>
          <w:sz w:val="22"/>
          <w:szCs w:val="22"/>
        </w:rPr>
        <w:t>4</w:t>
      </w:r>
      <w:r>
        <w:rPr>
          <w:rFonts w:eastAsia="Calibri" w:cs="Arial" w:ascii="Verdana" w:hAnsi="Verdana"/>
          <w:sz w:val="22"/>
          <w:szCs w:val="22"/>
        </w:rPr>
        <w:t>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  <w:t xml:space="preserve">Pytanie 1. </w:t>
      </w:r>
      <w:r>
        <w:rPr>
          <w:rFonts w:ascii="Verdana" w:hAnsi="Verdana"/>
          <w:sz w:val="22"/>
          <w:szCs w:val="22"/>
        </w:rPr>
        <w:t>Czy w zakres zamówienia wchodzi wykonanie małej architektury, fontanny, nasadzeń, które znajdują się w projekcie architektury krajobrazu? W przedmiarze te zagadnienia pominięto.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Ad. 1.</w:t>
      </w:r>
      <w:r>
        <w:rPr>
          <w:rFonts w:ascii="Verdana" w:hAnsi="Verdana"/>
          <w:sz w:val="22"/>
          <w:szCs w:val="22"/>
        </w:rPr>
        <w:t xml:space="preserve"> Zamawiający posiada jedno pozwolenie na budowę wraz z dokumentacją techniczną</w:t>
        <w:br/>
        <w:t xml:space="preserve">na całe otoczenie tzw. czworoboku, tj. ulice Czworobok, Rynek, H. Sawickiej (obecnie ul. Widokowa), Nadstawna, Wąwozowa. Natomiast zgodnie z załączonym dokumentem pod nazwą </w:t>
      </w:r>
      <w:r>
        <w:rPr>
          <w:rFonts w:ascii="Verdana" w:hAnsi="Verdana"/>
          <w:i/>
          <w:iCs/>
          <w:sz w:val="22"/>
          <w:szCs w:val="22"/>
        </w:rPr>
        <w:t>Zakres inwestycji – mapa.pdf</w:t>
      </w:r>
      <w:r>
        <w:rPr>
          <w:rFonts w:ascii="Verdana" w:hAnsi="Verdana"/>
          <w:sz w:val="22"/>
          <w:szCs w:val="22"/>
        </w:rPr>
        <w:t>, Zamawiający precyzuje, że ta część zadania, objęta niniejszym zamówieniem dotyczy jedynie ul. Nadstawnej wraz z robotami towarzyszącymi na części ul. Wąwozowej i ul. Spokojniej. Reasumując, to zadanie nie obejmuje wykonania małej architektury, fontanny, nasadzeń, które znajdują się w projekcie architektury krajobrazu na pozostałych ulicach w całym projekcie budowlanym, i które zostały już wykonane w ramach odrębnego postępowania. Zamawiający zachęca do zapoznania się z całą dokumentacją przetargową i zapisami SWZ, w szczególności uwzględniając zapisy pkt 4.3 i 4.3.2. SWZ.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8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8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Pytanie 2.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jakiego materiału należy wykonać nawierzchnie? W SWZ i projekcie jest granit oraz kostka/płyty porfirowe. W uzgodnieniu konserwatorskim jest zgoda na zamianę granitów/porfirów na beton. W przedmiarze również jest beton. Co obowiązuje?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120" w:before="0" w:after="0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Ad. 2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Nawierzchnie na ul. Nadstawnej należy wykonać zgodnie z ostatnim pismem konserwatorskim z dnia 11 stycznia 2022 r. znak: IN.II.5146.4.1.2022, tj. z kostki betonowej.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  <w:lang w:val="pl-PL" w:eastAsia="zh-CN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 up. Burmistrza 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b/>
          <w:b/>
          <w:bCs/>
          <w:i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Wiesław  Holaczuk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Zastępca Burmistrza</w:t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Cambria" w:hAnsi="Cambria" w:eastAsia="NSimSun" w:cs="Cambria"/>
          <w:b/>
          <w:b/>
          <w:bCs/>
          <w:color w:val="000000"/>
          <w:kern w:val="2"/>
          <w:sz w:val="24"/>
          <w:szCs w:val="24"/>
          <w:lang w:val="pl-PL" w:eastAsia="zh-CN" w:bidi="hi-I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1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LibreOffice/7.0.0.3$Windows_X86_64 LibreOffice_project/8061b3e9204bef6b321a21033174034a5e2ea88e</Application>
  <Pages>2</Pages>
  <Words>343</Words>
  <Characters>2196</Characters>
  <CharactersWithSpaces>2701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2022-03-04T08:30:48Z</dcterms:created>
  <dc:creator/>
  <dc:description/>
  <dc:language>pl-PL</dc:language>
  <cp:lastModifiedBy/>
  <cp:lastPrinted>2022-04-07T08:43:49Z</cp:lastPrinted>
  <dcterms:modified xsi:type="dcterms:W3CDTF">2022-04-07T09:03:24Z</dcterms:modified>
  <cp:revision>13</cp:revision>
  <dc:subject/>
  <dc:title/>
</cp:coreProperties>
</file>