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0" w:rsidRDefault="00D93ED0" w:rsidP="00A53BF1">
      <w:pPr>
        <w:rPr>
          <w:b/>
        </w:rPr>
      </w:pPr>
      <w:r>
        <w:rPr>
          <w:b/>
        </w:rPr>
        <w:t>WOMPCPL Dz.E III 26/7/2024</w:t>
      </w:r>
    </w:p>
    <w:p w:rsidR="00D93ED0" w:rsidRDefault="00D93ED0" w:rsidP="00A53BF1">
      <w:pPr>
        <w:rPr>
          <w:b/>
        </w:rPr>
      </w:pPr>
    </w:p>
    <w:p w:rsidR="003B11EC" w:rsidRDefault="00B827A7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  <w:r w:rsidRPr="00B827A7">
        <w:rPr>
          <w:rFonts w:eastAsia="NSimSun" w:cs="Mangal"/>
          <w:b/>
          <w:color w:val="auto"/>
          <w:kern w:val="3"/>
          <w:sz w:val="22"/>
          <w:lang w:eastAsia="zh-CN" w:bidi="hi-IN"/>
        </w:rPr>
        <w:t xml:space="preserve">Załącznik </w:t>
      </w:r>
      <w:r w:rsidR="00CA46ED">
        <w:rPr>
          <w:rFonts w:eastAsia="NSimSun" w:cs="Mangal"/>
          <w:b/>
          <w:color w:val="auto"/>
          <w:kern w:val="3"/>
          <w:sz w:val="22"/>
          <w:lang w:eastAsia="zh-CN" w:bidi="hi-IN"/>
        </w:rPr>
        <w:t>N</w:t>
      </w:r>
      <w:r w:rsidR="00D93ED0">
        <w:rPr>
          <w:rFonts w:eastAsia="NSimSun" w:cs="Mangal"/>
          <w:b/>
          <w:color w:val="auto"/>
          <w:kern w:val="3"/>
          <w:sz w:val="22"/>
          <w:lang w:eastAsia="zh-CN" w:bidi="hi-IN"/>
        </w:rPr>
        <w:t>r 2 – Kosztorys o</w:t>
      </w:r>
      <w:r w:rsidRPr="00B827A7">
        <w:rPr>
          <w:rFonts w:eastAsia="NSimSun" w:cs="Mangal"/>
          <w:b/>
          <w:color w:val="auto"/>
          <w:kern w:val="3"/>
          <w:sz w:val="22"/>
          <w:lang w:eastAsia="zh-CN" w:bidi="hi-IN"/>
        </w:rPr>
        <w:t>fertowy</w:t>
      </w:r>
      <w:r w:rsidR="0088046A">
        <w:rPr>
          <w:rFonts w:eastAsia="NSimSun" w:cs="Mangal"/>
          <w:b/>
          <w:color w:val="auto"/>
          <w:kern w:val="3"/>
          <w:sz w:val="22"/>
          <w:lang w:eastAsia="zh-CN" w:bidi="hi-IN"/>
        </w:rPr>
        <w:t xml:space="preserve"> </w:t>
      </w:r>
      <w:r w:rsidR="00D93ED0">
        <w:rPr>
          <w:rFonts w:eastAsia="NSimSun" w:cs="Mangal"/>
          <w:b/>
          <w:color w:val="auto"/>
          <w:kern w:val="3"/>
          <w:sz w:val="22"/>
          <w:lang w:eastAsia="zh-CN" w:bidi="hi-IN"/>
        </w:rPr>
        <w:t xml:space="preserve">wraz ze szczegółowym opisem zamówienia </w:t>
      </w:r>
    </w:p>
    <w:p w:rsidR="00F365FF" w:rsidRDefault="00F365FF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tbl>
      <w:tblPr>
        <w:tblW w:w="134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126"/>
        <w:gridCol w:w="850"/>
        <w:gridCol w:w="17"/>
        <w:gridCol w:w="2835"/>
        <w:gridCol w:w="1134"/>
        <w:gridCol w:w="1275"/>
        <w:gridCol w:w="1418"/>
        <w:gridCol w:w="1230"/>
        <w:gridCol w:w="7"/>
        <w:gridCol w:w="2307"/>
      </w:tblGrid>
      <w:tr w:rsidR="00145198" w:rsidRPr="00F365FF" w:rsidTr="005B7B04">
        <w:trPr>
          <w:gridAfter w:val="8"/>
          <w:wAfter w:w="10223" w:type="dxa"/>
          <w:trHeight w:val="58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198" w:rsidRPr="00F365FF" w:rsidRDefault="00145198" w:rsidP="00F365FF">
            <w:pPr>
              <w:suppressAutoHyphens w:val="0"/>
              <w:rPr>
                <w:b/>
                <w:bCs/>
                <w:color w:val="000000"/>
                <w:kern w:val="0"/>
                <w:sz w:val="27"/>
                <w:szCs w:val="27"/>
                <w:lang w:eastAsia="pl-PL"/>
              </w:rPr>
            </w:pPr>
            <w:r w:rsidRPr="00F365FF">
              <w:rPr>
                <w:b/>
                <w:bCs/>
                <w:color w:val="000000"/>
                <w:kern w:val="0"/>
                <w:sz w:val="27"/>
                <w:szCs w:val="27"/>
                <w:lang w:eastAsia="pl-PL"/>
              </w:rPr>
              <w:t xml:space="preserve">Grupa taryfowa </w:t>
            </w:r>
            <w:r>
              <w:rPr>
                <w:b/>
                <w:bCs/>
                <w:color w:val="000000"/>
                <w:kern w:val="0"/>
                <w:sz w:val="27"/>
                <w:szCs w:val="27"/>
                <w:lang w:eastAsia="pl-PL"/>
              </w:rPr>
              <w:t>C</w:t>
            </w:r>
            <w:r w:rsidRPr="00F365FF">
              <w:rPr>
                <w:b/>
                <w:bCs/>
                <w:color w:val="000000"/>
                <w:kern w:val="0"/>
                <w:sz w:val="27"/>
                <w:szCs w:val="27"/>
                <w:lang w:eastAsia="pl-PL"/>
              </w:rPr>
              <w:t>2</w:t>
            </w:r>
            <w:r>
              <w:rPr>
                <w:b/>
                <w:bCs/>
                <w:color w:val="000000"/>
                <w:kern w:val="0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198" w:rsidRPr="00F365FF" w:rsidRDefault="00145198" w:rsidP="00F365FF">
            <w:pPr>
              <w:suppressAutoHyphens w:val="0"/>
              <w:jc w:val="center"/>
              <w:rPr>
                <w:rFonts w:ascii="Arial1" w:hAnsi="Arial1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198" w:rsidRPr="00F365FF" w:rsidRDefault="00145198" w:rsidP="00F365FF">
            <w:pPr>
              <w:suppressAutoHyphens w:val="0"/>
              <w:rPr>
                <w:color w:val="auto"/>
                <w:kern w:val="0"/>
                <w:sz w:val="20"/>
                <w:szCs w:val="20"/>
                <w:lang w:eastAsia="pl-PL"/>
              </w:rPr>
            </w:pPr>
          </w:p>
        </w:tc>
      </w:tr>
      <w:tr w:rsidR="006C4B0F" w:rsidRPr="00F365FF" w:rsidTr="006C4B0F">
        <w:trPr>
          <w:trHeight w:val="617"/>
          <w:jc w:val="center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6C4B0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145198" w:rsidRDefault="006C4B0F" w:rsidP="006C4B0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 w:rsidRPr="00145198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  <w:t>Ilość szacunkowa podana przez Zamawiającego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6C4B0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26" w:rsidRDefault="006C4B0F" w:rsidP="006C4B0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Cena jednostkowa netto </w:t>
            </w: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           [</w:t>
            </w: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zł</w:t>
            </w: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/MWh]</w:t>
            </w: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</w:t>
            </w:r>
            <w:r w:rsidR="00240026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lub </w:t>
            </w:r>
          </w:p>
          <w:p w:rsidR="006C4B0F" w:rsidRPr="00F4458F" w:rsidRDefault="00240026" w:rsidP="006C4B0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[</w:t>
            </w: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zł</w:t>
            </w: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/m-c]</w:t>
            </w: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Default="006C4B0F" w:rsidP="006C4B0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Wartość netto      </w:t>
            </w:r>
            <w:r w:rsidRPr="00CE5706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pl-PL"/>
              </w:rPr>
              <w:t>(kol. 1 x kol. 3)</w:t>
            </w:r>
          </w:p>
          <w:p w:rsidR="006C4B0F" w:rsidRPr="00F4458F" w:rsidRDefault="006C4B0F" w:rsidP="006C4B0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6C4B0F" w:rsidRDefault="006C4B0F" w:rsidP="006C4B0F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C4B0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Podatek VAT (…....%)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6C4B0F" w:rsidRDefault="006C4B0F" w:rsidP="006C4B0F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C4B0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Wartość brutto zł</w:t>
            </w:r>
          </w:p>
          <w:p w:rsidR="006C4B0F" w:rsidRPr="006C4B0F" w:rsidRDefault="006C4B0F" w:rsidP="006C4B0F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C4B0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(kol. 4 x kol. 5)</w:t>
            </w:r>
          </w:p>
          <w:p w:rsidR="006C4B0F" w:rsidRPr="006C4B0F" w:rsidRDefault="006C4B0F" w:rsidP="006C4B0F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C4B0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[zł]</w:t>
            </w:r>
          </w:p>
        </w:tc>
      </w:tr>
      <w:tr w:rsidR="006C4B0F" w:rsidRPr="00F365FF" w:rsidTr="006C4B0F">
        <w:trPr>
          <w:trHeight w:val="360"/>
          <w:jc w:val="center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145198" w:rsidRDefault="006C4B0F" w:rsidP="00145198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145198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Lublin, ul. Nałęczowska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F365FF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PPE: 590543520102006091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0F" w:rsidRPr="00F4458F" w:rsidRDefault="006C4B0F" w:rsidP="00F365FF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0F" w:rsidRPr="00F4458F" w:rsidRDefault="006C4B0F" w:rsidP="00F365FF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0F" w:rsidRPr="00F4458F" w:rsidRDefault="006C4B0F" w:rsidP="00F365FF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0F" w:rsidRPr="00F4458F" w:rsidRDefault="006C4B0F" w:rsidP="00F365FF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0F" w:rsidRPr="00F4458F" w:rsidRDefault="006C4B0F" w:rsidP="00F365FF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C4B0F" w:rsidRPr="00F365FF" w:rsidTr="00810853">
        <w:trPr>
          <w:trHeight w:val="243"/>
          <w:jc w:val="center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B0F" w:rsidRPr="00145198" w:rsidRDefault="006C4B0F" w:rsidP="00145198">
            <w:pPr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CE5706" w:rsidRDefault="006C4B0F" w:rsidP="00CE5706">
            <w:pPr>
              <w:jc w:val="center"/>
              <w:rPr>
                <w:rFonts w:asciiTheme="minorHAnsi" w:hAnsiTheme="minorHAnsi" w:cstheme="minorHAnsi"/>
                <w:color w:val="auto"/>
                <w:kern w:val="0"/>
                <w:sz w:val="16"/>
                <w:szCs w:val="16"/>
                <w:lang w:eastAsia="pl-PL"/>
              </w:rPr>
            </w:pPr>
            <w:r w:rsidRPr="00CE5706">
              <w:rPr>
                <w:rFonts w:asciiTheme="minorHAnsi" w:hAnsiTheme="minorHAnsi" w:cstheme="minorHAnsi"/>
                <w:color w:val="auto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0F" w:rsidRPr="00CE5706" w:rsidRDefault="006C4B0F" w:rsidP="00CE5706">
            <w:pPr>
              <w:jc w:val="center"/>
              <w:rPr>
                <w:rFonts w:asciiTheme="minorHAnsi" w:hAnsiTheme="minorHAnsi" w:cstheme="minorHAnsi"/>
                <w:color w:val="auto"/>
                <w:kern w:val="0"/>
                <w:sz w:val="16"/>
                <w:szCs w:val="16"/>
                <w:lang w:eastAsia="pl-PL"/>
              </w:rPr>
            </w:pPr>
            <w:r w:rsidRPr="00CE5706">
              <w:rPr>
                <w:rFonts w:asciiTheme="minorHAnsi" w:hAnsiTheme="minorHAnsi" w:cstheme="minorHAnsi"/>
                <w:color w:val="auto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0F" w:rsidRPr="00CE5706" w:rsidRDefault="006C4B0F" w:rsidP="00CE5706">
            <w:pPr>
              <w:jc w:val="center"/>
              <w:rPr>
                <w:rFonts w:asciiTheme="minorHAnsi" w:hAnsiTheme="minorHAnsi" w:cstheme="minorHAnsi"/>
                <w:color w:val="auto"/>
                <w:kern w:val="0"/>
                <w:sz w:val="16"/>
                <w:szCs w:val="16"/>
                <w:lang w:eastAsia="pl-PL"/>
              </w:rPr>
            </w:pPr>
            <w:r w:rsidRPr="00CE5706">
              <w:rPr>
                <w:rFonts w:asciiTheme="minorHAnsi" w:hAnsiTheme="minorHAnsi" w:cstheme="minorHAnsi"/>
                <w:color w:val="auto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4B0F" w:rsidRPr="00CE5706" w:rsidRDefault="006C4B0F" w:rsidP="00CE5706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pl-PL"/>
              </w:rPr>
            </w:pPr>
            <w:r w:rsidRPr="00CE5706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0F" w:rsidRPr="00CE5706" w:rsidRDefault="006C4B0F" w:rsidP="006C4B0F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pl-PL"/>
              </w:rPr>
            </w:pPr>
            <w:r w:rsidRPr="00CE5706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4B0F" w:rsidRPr="00CE5706" w:rsidRDefault="006C4B0F" w:rsidP="00CE5706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pl-PL"/>
              </w:rPr>
            </w:pPr>
            <w:r w:rsidRPr="00810853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highlight w:val="yellow"/>
                <w:lang w:eastAsia="pl-PL"/>
              </w:rPr>
              <w:t>6</w:t>
            </w: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  <w:t>Sprzedaż energii elektrycznej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52</w:t>
            </w: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  <w:t>Razem energia elektryczna czynna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1356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  <w:t>Odkup energii elektrycznej               z instalacji OZE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Default="006C4B0F" w:rsidP="004D07CB">
            <w:pPr>
              <w:jc w:val="center"/>
            </w:pPr>
            <w:r w:rsidRPr="00017701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Default="006C4B0F" w:rsidP="004D07CB">
            <w:pPr>
              <w:jc w:val="center"/>
            </w:pPr>
            <w:r w:rsidRPr="00017701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Default="006C4B0F" w:rsidP="004D07CB">
            <w:pPr>
              <w:jc w:val="center"/>
            </w:pPr>
            <w:r w:rsidRPr="00017701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Sierpień </w:t>
            </w: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–</w:t>
            </w: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Grudzień</w:t>
            </w: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(5 miesięcy)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zł/m-c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Styczeń – Grudzień</w:t>
            </w: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(12 miesięcy)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zł/m-c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B0F" w:rsidRPr="00F4458F" w:rsidRDefault="006C4B0F" w:rsidP="004D07CB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</w:tr>
      <w:tr w:rsidR="006C4B0F" w:rsidRPr="00F365FF" w:rsidTr="006C4B0F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Rok 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Styczeń – Grudzień</w:t>
            </w:r>
            <w:r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 xml:space="preserve"> (12 miesięcy)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auto"/>
                <w:kern w:val="0"/>
                <w:sz w:val="20"/>
                <w:szCs w:val="20"/>
                <w:lang w:eastAsia="pl-PL"/>
              </w:rPr>
            </w:pPr>
            <w:r w:rsidRPr="00F4458F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  <w:t>zł/m-c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B0F" w:rsidRPr="00F4458F" w:rsidRDefault="006C4B0F" w:rsidP="004D07CB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0F" w:rsidRPr="00F4458F" w:rsidRDefault="006C4B0F" w:rsidP="004D07CB">
            <w:pP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F365FF" w:rsidRPr="00402911" w:rsidRDefault="00F365FF" w:rsidP="00A53BF1">
      <w:pPr>
        <w:rPr>
          <w:rFonts w:asciiTheme="minorHAnsi" w:eastAsia="NSimSun" w:hAnsiTheme="minorHAnsi" w:cstheme="minorHAnsi"/>
          <w:b/>
          <w:color w:val="auto"/>
          <w:kern w:val="3"/>
          <w:sz w:val="22"/>
          <w:lang w:eastAsia="zh-CN" w:bidi="hi-IN"/>
        </w:rPr>
      </w:pPr>
    </w:p>
    <w:p w:rsidR="00402911" w:rsidRPr="00402911" w:rsidRDefault="00402911" w:rsidP="00402911">
      <w:pPr>
        <w:jc w:val="both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40291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W tabeli podano szacunkowe zużycie energii elektrycznej w danych okresach rozliczeniowych. Rozliczenia będą odbywać się na podstawie wskazań układu pomiarowo - rozliczeniowego. Ceny jednostkowe winny być podane z dokładnością do dwóch miejsc po przecinku.</w:t>
      </w:r>
    </w:p>
    <w:p w:rsidR="00402911" w:rsidRPr="00402911" w:rsidRDefault="00402911" w:rsidP="00A53BF1">
      <w:pPr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</w:p>
    <w:p w:rsidR="00402911" w:rsidRPr="00402911" w:rsidRDefault="00402911" w:rsidP="00402911">
      <w:pPr>
        <w:jc w:val="both"/>
        <w:rPr>
          <w:rFonts w:asciiTheme="minorHAnsi" w:eastAsia="NSimSun" w:hAnsiTheme="minorHAnsi" w:cstheme="minorHAnsi"/>
          <w:b/>
          <w:color w:val="auto"/>
          <w:kern w:val="3"/>
          <w:sz w:val="22"/>
          <w:lang w:eastAsia="zh-CN" w:bidi="hi-IN"/>
        </w:rPr>
      </w:pPr>
      <w:r w:rsidRPr="00402911">
        <w:rPr>
          <w:rFonts w:asciiTheme="minorHAnsi" w:hAnsiTheme="minorHAnsi" w:cstheme="minorHAnsi"/>
          <w:color w:val="auto"/>
          <w:kern w:val="0"/>
          <w:sz w:val="22"/>
          <w:szCs w:val="22"/>
          <w:lang w:eastAsia="pl-PL"/>
        </w:rPr>
        <w:t>W cenę jednostkową netto energii za 1 MWh wkalkulowane powinny być wszystkie koszty realizacji Zamówienia, m.in. takie jak opłata handlowa, akcyza, koszty realizacji usługi bilansowania handlowego, koszty przeprowadzenia procedury zmiany sprzedawcy.</w:t>
      </w:r>
    </w:p>
    <w:p w:rsidR="00402911" w:rsidRDefault="00402911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402911" w:rsidRPr="00C757AE" w:rsidRDefault="00C757AE" w:rsidP="00A53BF1">
      <w:pPr>
        <w:rPr>
          <w:rFonts w:asciiTheme="minorHAnsi" w:eastAsia="NSimSun" w:hAnsiTheme="minorHAnsi" w:cstheme="minorHAnsi"/>
          <w:bCs/>
          <w:color w:val="auto"/>
          <w:kern w:val="3"/>
          <w:sz w:val="22"/>
          <w:szCs w:val="22"/>
          <w:lang w:eastAsia="zh-CN" w:bidi="hi-IN"/>
        </w:rPr>
      </w:pPr>
      <w:r w:rsidRPr="00C757AE">
        <w:rPr>
          <w:rFonts w:asciiTheme="minorHAnsi" w:eastAsia="NSimSun" w:hAnsiTheme="minorHAnsi" w:cstheme="minorHAnsi"/>
          <w:bCs/>
          <w:color w:val="auto"/>
          <w:kern w:val="3"/>
          <w:sz w:val="22"/>
          <w:szCs w:val="22"/>
          <w:lang w:eastAsia="zh-CN" w:bidi="hi-IN"/>
        </w:rPr>
        <w:t xml:space="preserve">Do </w:t>
      </w:r>
      <w:r>
        <w:rPr>
          <w:rFonts w:asciiTheme="minorHAnsi" w:eastAsia="NSimSun" w:hAnsiTheme="minorHAnsi" w:cstheme="minorHAnsi"/>
          <w:bCs/>
          <w:color w:val="auto"/>
          <w:kern w:val="3"/>
          <w:sz w:val="22"/>
          <w:szCs w:val="22"/>
          <w:lang w:eastAsia="zh-CN" w:bidi="hi-IN"/>
        </w:rPr>
        <w:t>pod</w:t>
      </w:r>
      <w:r w:rsidR="006C4B0F">
        <w:rPr>
          <w:rFonts w:asciiTheme="minorHAnsi" w:eastAsia="NSimSun" w:hAnsiTheme="minorHAnsi" w:cstheme="minorHAnsi"/>
          <w:bCs/>
          <w:color w:val="auto"/>
          <w:kern w:val="3"/>
          <w:sz w:val="22"/>
          <w:szCs w:val="22"/>
          <w:lang w:eastAsia="zh-CN" w:bidi="hi-IN"/>
        </w:rPr>
        <w:t>anych cen energii netto należy doliczyć</w:t>
      </w:r>
      <w:r>
        <w:rPr>
          <w:rFonts w:asciiTheme="minorHAnsi" w:eastAsia="NSimSun" w:hAnsiTheme="minorHAnsi" w:cstheme="minorHAnsi"/>
          <w:bCs/>
          <w:color w:val="auto"/>
          <w:kern w:val="3"/>
          <w:sz w:val="22"/>
          <w:szCs w:val="22"/>
          <w:lang w:eastAsia="zh-CN" w:bidi="hi-IN"/>
        </w:rPr>
        <w:t xml:space="preserve"> podatek VAT obowią</w:t>
      </w:r>
      <w:r w:rsidR="006C4B0F">
        <w:rPr>
          <w:rFonts w:asciiTheme="minorHAnsi" w:eastAsia="NSimSun" w:hAnsiTheme="minorHAnsi" w:cstheme="minorHAnsi"/>
          <w:bCs/>
          <w:color w:val="auto"/>
          <w:kern w:val="3"/>
          <w:sz w:val="22"/>
          <w:szCs w:val="22"/>
          <w:lang w:eastAsia="zh-CN" w:bidi="hi-IN"/>
        </w:rPr>
        <w:t>zujący na dzień składania ofert</w:t>
      </w:r>
      <w:r>
        <w:rPr>
          <w:rFonts w:asciiTheme="minorHAnsi" w:eastAsia="NSimSun" w:hAnsiTheme="minorHAnsi" w:cstheme="minorHAnsi"/>
          <w:bCs/>
          <w:color w:val="auto"/>
          <w:kern w:val="3"/>
          <w:sz w:val="22"/>
          <w:szCs w:val="22"/>
          <w:lang w:eastAsia="zh-CN" w:bidi="hi-IN"/>
        </w:rPr>
        <w:t>.</w:t>
      </w:r>
    </w:p>
    <w:p w:rsidR="00402911" w:rsidRDefault="00402911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402911" w:rsidRDefault="00402911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402911" w:rsidRDefault="00402911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C757AE" w:rsidRDefault="00C757AE" w:rsidP="00A53BF1">
      <w:pPr>
        <w:rPr>
          <w:rFonts w:asciiTheme="minorHAnsi" w:eastAsia="NSimSun" w:hAnsiTheme="minorHAnsi" w:cstheme="minorHAnsi"/>
          <w:bCs/>
          <w:color w:val="auto"/>
          <w:kern w:val="3"/>
          <w:sz w:val="22"/>
          <w:lang w:eastAsia="zh-CN" w:bidi="hi-IN"/>
        </w:rPr>
      </w:pPr>
      <w:r>
        <w:rPr>
          <w:rFonts w:asciiTheme="minorHAnsi" w:eastAsia="NSimSun" w:hAnsiTheme="minorHAnsi" w:cstheme="minorHAnsi"/>
          <w:bCs/>
          <w:color w:val="auto"/>
          <w:kern w:val="3"/>
          <w:sz w:val="22"/>
          <w:lang w:eastAsia="zh-CN" w:bidi="hi-IN"/>
        </w:rPr>
        <w:t>Sposób obliczenia łącznej wartości oferty przedstawiono na poniższym algorytmie:</w:t>
      </w:r>
    </w:p>
    <w:p w:rsidR="007A45A2" w:rsidRDefault="007A45A2" w:rsidP="00A53BF1">
      <w:pPr>
        <w:rPr>
          <w:rFonts w:asciiTheme="minorHAnsi" w:eastAsia="NSimSun" w:hAnsiTheme="minorHAnsi" w:cstheme="minorHAnsi"/>
          <w:bCs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asciiTheme="minorHAnsi" w:eastAsia="NSimSun" w:hAnsiTheme="minorHAnsi" w:cstheme="minorHAnsi"/>
          <w:bCs/>
          <w:color w:val="auto"/>
          <w:kern w:val="3"/>
          <w:sz w:val="22"/>
          <w:lang w:eastAsia="zh-CN" w:bidi="hi-IN"/>
        </w:rPr>
      </w:pPr>
    </w:p>
    <w:p w:rsidR="007A45A2" w:rsidRPr="007A45A2" w:rsidRDefault="007A45A2" w:rsidP="007A45A2">
      <w:pPr>
        <w:jc w:val="center"/>
        <w:rPr>
          <w:rFonts w:asciiTheme="minorHAnsi" w:eastAsia="NSimSun" w:hAnsiTheme="minorHAnsi" w:cstheme="minorHAnsi"/>
          <w:b/>
          <w:color w:val="auto"/>
          <w:kern w:val="3"/>
          <w:sz w:val="22"/>
          <w:lang w:eastAsia="zh-CN" w:bidi="hi-IN"/>
        </w:rPr>
      </w:pPr>
      <w:r w:rsidRPr="007A45A2">
        <w:rPr>
          <w:rFonts w:asciiTheme="minorHAnsi" w:eastAsia="NSimSun" w:hAnsiTheme="minorHAnsi" w:cstheme="minorHAnsi"/>
          <w:b/>
          <w:color w:val="auto"/>
          <w:kern w:val="3"/>
          <w:sz w:val="22"/>
          <w:lang w:eastAsia="zh-CN" w:bidi="hi-IN"/>
        </w:rPr>
        <w:t>ŁĄCZNA WARTOŚĆ OFERTY NETTO = poz. A.4 - poz. D.4 + poz. B.4 - poz. E.4 + poz. C.4 - poz. F.4</w:t>
      </w:r>
      <w:r w:rsidR="00676E86">
        <w:rPr>
          <w:rFonts w:asciiTheme="minorHAnsi" w:eastAsia="NSimSun" w:hAnsiTheme="minorHAnsi" w:cstheme="minorHAnsi"/>
          <w:b/>
          <w:color w:val="auto"/>
          <w:kern w:val="3"/>
          <w:sz w:val="22"/>
          <w:lang w:eastAsia="zh-CN" w:bidi="hi-IN"/>
        </w:rPr>
        <w:t xml:space="preserve"> + wartość netto opłaty handlowej za rok 2024, 2025, 2026</w:t>
      </w: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</w:pPr>
      <w:r w:rsidRPr="007A45A2"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Łączna wartość oferty netto: ………………………………………..</w:t>
      </w:r>
      <w: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 xml:space="preserve"> zł</w:t>
      </w:r>
    </w:p>
    <w:p w:rsidR="007A45A2" w:rsidRDefault="007A45A2" w:rsidP="00A53BF1">
      <w:pP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</w:pPr>
    </w:p>
    <w:p w:rsidR="007A45A2" w:rsidRPr="007A45A2" w:rsidRDefault="007A45A2" w:rsidP="00A53BF1">
      <w:pPr>
        <w:rPr>
          <w:rFonts w:ascii="Calibri" w:eastAsia="NSimSun" w:hAnsi="Calibri" w:cs="Calibri"/>
          <w:b/>
          <w:color w:val="auto"/>
          <w:kern w:val="3"/>
          <w:sz w:val="22"/>
          <w:lang w:eastAsia="zh-CN" w:bidi="hi-IN"/>
        </w:rPr>
      </w:pPr>
      <w:r w:rsidRPr="007A45A2"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(słownie:</w:t>
      </w:r>
      <w: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 xml:space="preserve"> </w:t>
      </w:r>
      <w:r w:rsidRPr="007A45A2"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…………………………………………………………………………………</w:t>
      </w:r>
      <w: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…………………………………………………………………………………………………………………………………………..</w:t>
      </w:r>
      <w:r w:rsidRPr="007A45A2"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)</w:t>
      </w:r>
    </w:p>
    <w:p w:rsidR="00C757AE" w:rsidRDefault="00C757AE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6C4B0F" w:rsidRDefault="006C4B0F" w:rsidP="006C4B0F">
      <w:pP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</w:pPr>
      <w: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Łączna wartość oferty brutto</w:t>
      </w:r>
      <w:r w:rsidRPr="007A45A2"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: ………………………………………..</w:t>
      </w:r>
      <w: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 xml:space="preserve"> zł</w:t>
      </w:r>
    </w:p>
    <w:p w:rsidR="006C4B0F" w:rsidRDefault="006C4B0F" w:rsidP="006C4B0F">
      <w:pP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</w:pPr>
    </w:p>
    <w:p w:rsidR="006C4B0F" w:rsidRPr="007A45A2" w:rsidRDefault="006C4B0F" w:rsidP="006C4B0F">
      <w:pPr>
        <w:rPr>
          <w:rFonts w:ascii="Calibri" w:eastAsia="NSimSun" w:hAnsi="Calibri" w:cs="Calibri"/>
          <w:b/>
          <w:color w:val="auto"/>
          <w:kern w:val="3"/>
          <w:sz w:val="22"/>
          <w:lang w:eastAsia="zh-CN" w:bidi="hi-IN"/>
        </w:rPr>
      </w:pPr>
      <w:r w:rsidRPr="007A45A2"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(słownie:</w:t>
      </w:r>
      <w: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 xml:space="preserve"> </w:t>
      </w:r>
      <w:r w:rsidRPr="007A45A2"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…………………………………………………………………………………</w:t>
      </w:r>
      <w:r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…………………………………………………………………………………………………………………………………………..</w:t>
      </w:r>
      <w:r w:rsidRPr="007A45A2">
        <w:rPr>
          <w:rFonts w:ascii="Calibri" w:eastAsiaTheme="minorHAnsi" w:hAnsi="Calibri" w:cs="Calibri"/>
          <w:b/>
          <w:color w:val="auto"/>
          <w:kern w:val="0"/>
          <w:sz w:val="22"/>
          <w:lang w:eastAsia="en-US"/>
        </w:rPr>
        <w:t>)</w:t>
      </w: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6C4B0F" w:rsidRDefault="006C4B0F" w:rsidP="007A45A2">
      <w:pPr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6C4B0F" w:rsidRDefault="006C4B0F" w:rsidP="007A45A2">
      <w:pPr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7A45A2" w:rsidRPr="007A45A2" w:rsidRDefault="007A45A2" w:rsidP="007A45A2">
      <w:pPr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7A45A2">
        <w:rPr>
          <w:rFonts w:asciiTheme="minorHAnsi" w:hAnsiTheme="minorHAnsi" w:cstheme="minorHAnsi"/>
          <w:b/>
          <w:sz w:val="22"/>
          <w:szCs w:val="20"/>
          <w:u w:val="single"/>
        </w:rPr>
        <w:t xml:space="preserve">Wykonawca zobowiązany jest do złożenia wraz z 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O</w:t>
      </w:r>
      <w:r w:rsidRPr="007A45A2">
        <w:rPr>
          <w:rFonts w:asciiTheme="minorHAnsi" w:hAnsiTheme="minorHAnsi" w:cstheme="minorHAnsi"/>
          <w:b/>
          <w:sz w:val="22"/>
          <w:szCs w:val="20"/>
          <w:u w:val="single"/>
        </w:rPr>
        <w:t>fertą oświadczeni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a</w:t>
      </w:r>
      <w:r w:rsidRPr="007A45A2">
        <w:rPr>
          <w:rFonts w:asciiTheme="minorHAnsi" w:hAnsiTheme="minorHAnsi" w:cstheme="minorHAnsi"/>
          <w:b/>
          <w:sz w:val="22"/>
          <w:szCs w:val="20"/>
          <w:u w:val="single"/>
        </w:rPr>
        <w:t xml:space="preserve"> o zawartej Generalnej Umowie Dystrybucyjnej z lokalnym Operatorem Systemu Dystrybucyjnego.</w:t>
      </w:r>
    </w:p>
    <w:p w:rsidR="007A45A2" w:rsidRDefault="007A45A2" w:rsidP="007A45A2">
      <w:pPr>
        <w:jc w:val="right"/>
        <w:rPr>
          <w:sz w:val="22"/>
          <w:szCs w:val="20"/>
        </w:rPr>
      </w:pPr>
    </w:p>
    <w:p w:rsidR="007A45A2" w:rsidRDefault="007A45A2" w:rsidP="007A45A2">
      <w:pPr>
        <w:jc w:val="right"/>
        <w:rPr>
          <w:sz w:val="22"/>
          <w:szCs w:val="20"/>
        </w:rPr>
      </w:pPr>
    </w:p>
    <w:p w:rsidR="007A45A2" w:rsidRDefault="007A45A2" w:rsidP="007A45A2">
      <w:pPr>
        <w:jc w:val="right"/>
        <w:rPr>
          <w:sz w:val="22"/>
          <w:szCs w:val="20"/>
        </w:rPr>
      </w:pPr>
    </w:p>
    <w:p w:rsidR="007A45A2" w:rsidRDefault="007A45A2" w:rsidP="007A45A2">
      <w:pPr>
        <w:jc w:val="right"/>
        <w:rPr>
          <w:sz w:val="22"/>
          <w:szCs w:val="20"/>
        </w:rPr>
      </w:pPr>
    </w:p>
    <w:p w:rsidR="007A45A2" w:rsidRDefault="007A45A2" w:rsidP="007A45A2">
      <w:pPr>
        <w:jc w:val="right"/>
        <w:rPr>
          <w:sz w:val="22"/>
          <w:szCs w:val="20"/>
        </w:rPr>
      </w:pPr>
    </w:p>
    <w:p w:rsidR="007A45A2" w:rsidRPr="0047571B" w:rsidRDefault="007A45A2" w:rsidP="007A45A2">
      <w:pPr>
        <w:jc w:val="right"/>
        <w:rPr>
          <w:sz w:val="22"/>
          <w:szCs w:val="20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7A45A2" w:rsidRDefault="007A45A2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</w:p>
    <w:p w:rsidR="00C757AE" w:rsidRDefault="00D93ED0" w:rsidP="00D93ED0">
      <w:pPr>
        <w:suppressAutoHyphens w:val="0"/>
        <w:spacing w:after="160" w:line="259" w:lineRule="auto"/>
        <w:rPr>
          <w:rFonts w:eastAsia="NSimSun" w:cs="Mangal"/>
          <w:b/>
          <w:color w:val="auto"/>
          <w:kern w:val="3"/>
          <w:sz w:val="22"/>
          <w:lang w:eastAsia="zh-CN" w:bidi="hi-IN"/>
        </w:rPr>
      </w:pPr>
      <w:r>
        <w:rPr>
          <w:rFonts w:eastAsia="NSimSun" w:cs="Mangal"/>
          <w:b/>
          <w:color w:val="auto"/>
          <w:kern w:val="3"/>
          <w:sz w:val="22"/>
          <w:lang w:eastAsia="zh-CN" w:bidi="hi-IN"/>
        </w:rPr>
        <w:br w:type="page"/>
      </w:r>
    </w:p>
    <w:p w:rsidR="00326C1B" w:rsidRDefault="00326C1B" w:rsidP="0047571B">
      <w:pPr>
        <w:jc w:val="right"/>
        <w:rPr>
          <w:sz w:val="22"/>
          <w:szCs w:val="20"/>
        </w:rPr>
      </w:pPr>
    </w:p>
    <w:p w:rsidR="00326C1B" w:rsidRPr="00732ADB" w:rsidRDefault="00326C1B" w:rsidP="00326C1B">
      <w:pPr>
        <w:rPr>
          <w:rFonts w:asciiTheme="minorHAnsi" w:hAnsiTheme="minorHAnsi" w:cstheme="minorHAnsi"/>
          <w:b/>
          <w:sz w:val="22"/>
          <w:szCs w:val="20"/>
        </w:rPr>
      </w:pPr>
      <w:r w:rsidRPr="00732ADB">
        <w:rPr>
          <w:rFonts w:asciiTheme="minorHAnsi" w:hAnsiTheme="minorHAnsi" w:cstheme="minorHAnsi"/>
          <w:b/>
          <w:sz w:val="22"/>
          <w:szCs w:val="20"/>
        </w:rPr>
        <w:t>Szczegółowy opis przedmiotu zamówienia</w:t>
      </w:r>
    </w:p>
    <w:p w:rsidR="00326C1B" w:rsidRPr="00732ADB" w:rsidRDefault="00326C1B" w:rsidP="00326C1B">
      <w:pPr>
        <w:rPr>
          <w:rFonts w:asciiTheme="minorHAnsi" w:hAnsiTheme="minorHAnsi" w:cstheme="minorHAnsi"/>
          <w:b/>
          <w:sz w:val="22"/>
          <w:szCs w:val="20"/>
        </w:rPr>
      </w:pP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732ADB">
        <w:rPr>
          <w:rFonts w:asciiTheme="minorHAnsi" w:hAnsiTheme="minorHAnsi" w:cstheme="minorHAnsi"/>
          <w:sz w:val="22"/>
        </w:rPr>
        <w:t>W ramach realizacji przedmiotu Zamówienia Wykonawca zobowiązany będzie do sprzedaży (dostawy) energii elektrycznej do punkt</w:t>
      </w:r>
      <w:r w:rsidR="00376CF1" w:rsidRPr="00732ADB">
        <w:rPr>
          <w:rFonts w:asciiTheme="minorHAnsi" w:hAnsiTheme="minorHAnsi" w:cstheme="minorHAnsi"/>
          <w:sz w:val="22"/>
        </w:rPr>
        <w:t>u</w:t>
      </w:r>
      <w:r w:rsidRPr="00732ADB">
        <w:rPr>
          <w:rFonts w:asciiTheme="minorHAnsi" w:hAnsiTheme="minorHAnsi" w:cstheme="minorHAnsi"/>
          <w:sz w:val="22"/>
        </w:rPr>
        <w:t xml:space="preserve"> pob</w:t>
      </w:r>
      <w:r w:rsidR="00676E86">
        <w:rPr>
          <w:rFonts w:asciiTheme="minorHAnsi" w:hAnsiTheme="minorHAnsi" w:cstheme="minorHAnsi"/>
          <w:sz w:val="22"/>
        </w:rPr>
        <w:t xml:space="preserve">oru energii elektrycznej (PPE) </w:t>
      </w:r>
      <w:r w:rsidRPr="00732ADB">
        <w:rPr>
          <w:rFonts w:asciiTheme="minorHAnsi" w:hAnsiTheme="minorHAnsi" w:cstheme="minorHAnsi"/>
          <w:sz w:val="22"/>
        </w:rPr>
        <w:t>wymienion</w:t>
      </w:r>
      <w:r w:rsidR="00376CF1" w:rsidRPr="00732ADB">
        <w:rPr>
          <w:rFonts w:asciiTheme="minorHAnsi" w:hAnsiTheme="minorHAnsi" w:cstheme="minorHAnsi"/>
          <w:sz w:val="22"/>
        </w:rPr>
        <w:t>ego</w:t>
      </w:r>
      <w:r w:rsidRPr="00732ADB">
        <w:rPr>
          <w:rFonts w:asciiTheme="minorHAnsi" w:hAnsiTheme="minorHAnsi" w:cstheme="minorHAnsi"/>
          <w:sz w:val="22"/>
        </w:rPr>
        <w:t xml:space="preserve"> w tabeli </w:t>
      </w:r>
      <w:r w:rsidR="00376CF1" w:rsidRPr="00732ADB">
        <w:rPr>
          <w:rFonts w:asciiTheme="minorHAnsi" w:hAnsiTheme="minorHAnsi" w:cstheme="minorHAnsi"/>
          <w:sz w:val="22"/>
        </w:rPr>
        <w:t>„Załącznik Nr 2 – Kosztorys Ofertowy”</w:t>
      </w:r>
      <w:r w:rsidRPr="00732ADB">
        <w:rPr>
          <w:rFonts w:asciiTheme="minorHAnsi" w:hAnsiTheme="minorHAnsi" w:cstheme="minorHAnsi"/>
          <w:sz w:val="22"/>
        </w:rPr>
        <w:t>, zgodnie z przepisami ustawy z dnia 10 kwietnia 1997 r. Prawo energetyczne (tj. z dnia 31 marca 2021 r. (Dz.U.2022.1385 t.j.) ze zm.; zwana dalej –„Prawem energetycznym”), oraz aktami wykonawczymi do tej ustawy.</w:t>
      </w: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</w:rPr>
      </w:pPr>
      <w:r w:rsidRPr="00732ADB">
        <w:rPr>
          <w:rFonts w:asciiTheme="minorHAnsi" w:hAnsiTheme="minorHAnsi" w:cstheme="minorHAnsi"/>
          <w:sz w:val="22"/>
        </w:rPr>
        <w:t>Wykonawca musi posiadać aktualną koncesję na prowadzenie działalności gospodarczej w zakresie obrotu energią elektryczną wydaną przez Prezesa Urzędu Regulacji Energetyki oraz obowiązującą umowę na sprzedaż energii elektrycznej za pośrednictwem sieci dystrybucyjnej lokalnego ope</w:t>
      </w:r>
      <w:r w:rsidR="00727F4D" w:rsidRPr="00732ADB">
        <w:rPr>
          <w:rFonts w:asciiTheme="minorHAnsi" w:hAnsiTheme="minorHAnsi" w:cstheme="minorHAnsi"/>
          <w:sz w:val="22"/>
        </w:rPr>
        <w:t>ratora systemu dystrybucyjnego</w:t>
      </w:r>
      <w:r w:rsidRPr="00732ADB">
        <w:rPr>
          <w:rFonts w:asciiTheme="minorHAnsi" w:hAnsiTheme="minorHAnsi" w:cstheme="minorHAnsi"/>
          <w:sz w:val="22"/>
        </w:rPr>
        <w:t xml:space="preserve">. </w:t>
      </w:r>
      <w:r w:rsidRPr="00732ADB">
        <w:rPr>
          <w:rFonts w:asciiTheme="minorHAnsi" w:hAnsiTheme="minorHAnsi" w:cstheme="minorHAnsi"/>
          <w:b/>
          <w:bCs/>
          <w:sz w:val="22"/>
        </w:rPr>
        <w:t>Umowa na sprzedaż energii elektrycznej za pośrednictwem sieci dystrybucyjnej lokalnego operatora systemu dystrybucyjnego - wymagana będzie do okazania lub przedłożenia kopii przed zawarciem umowy z Zamawiającym.</w:t>
      </w: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732ADB">
        <w:rPr>
          <w:rFonts w:asciiTheme="minorHAnsi" w:hAnsiTheme="minorHAnsi" w:cstheme="minorHAnsi"/>
          <w:sz w:val="22"/>
        </w:rPr>
        <w:t xml:space="preserve">Wykonawca zgłosi, w imieniu </w:t>
      </w:r>
      <w:r w:rsidR="00732ADB" w:rsidRPr="00732ADB">
        <w:rPr>
          <w:rFonts w:asciiTheme="minorHAnsi" w:hAnsiTheme="minorHAnsi" w:cstheme="minorHAnsi"/>
          <w:sz w:val="22"/>
        </w:rPr>
        <w:t>WOMP CP-L</w:t>
      </w:r>
      <w:r w:rsidRPr="00732ADB">
        <w:rPr>
          <w:rFonts w:asciiTheme="minorHAnsi" w:hAnsiTheme="minorHAnsi" w:cstheme="minorHAnsi"/>
          <w:sz w:val="22"/>
        </w:rPr>
        <w:t xml:space="preserve"> w Lublinie na podstawie udzielonego przez Zamawiającego pełnomocnictwa, do właściwych Operatorów Systemów Dystrybucyjnych zawartą umowę sprzedaży w zakresie Punkt</w:t>
      </w:r>
      <w:r w:rsidR="00732ADB" w:rsidRPr="00732ADB">
        <w:rPr>
          <w:rFonts w:asciiTheme="minorHAnsi" w:hAnsiTheme="minorHAnsi" w:cstheme="minorHAnsi"/>
          <w:sz w:val="22"/>
        </w:rPr>
        <w:t>u</w:t>
      </w:r>
      <w:r w:rsidRPr="00732ADB">
        <w:rPr>
          <w:rFonts w:asciiTheme="minorHAnsi" w:hAnsiTheme="minorHAnsi" w:cstheme="minorHAnsi"/>
          <w:sz w:val="22"/>
        </w:rPr>
        <w:t xml:space="preserve"> Poboru Energii Elektrycznej.</w:t>
      </w: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732ADB">
        <w:rPr>
          <w:rFonts w:asciiTheme="minorHAnsi" w:hAnsiTheme="minorHAnsi" w:cstheme="minorHAnsi"/>
          <w:sz w:val="22"/>
        </w:rPr>
        <w:t xml:space="preserve">Prognozowana ilość energii elektrycznej, którą Zamawiający zamierza kupić w okresie obowiązywania umowy wynosi </w:t>
      </w:r>
      <w:r w:rsidR="00732ADB" w:rsidRPr="00732ADB">
        <w:rPr>
          <w:rFonts w:asciiTheme="minorHAnsi" w:hAnsiTheme="minorHAnsi" w:cstheme="minorHAnsi"/>
          <w:sz w:val="22"/>
        </w:rPr>
        <w:t>1 356</w:t>
      </w:r>
      <w:r w:rsidRPr="00732ADB">
        <w:rPr>
          <w:rFonts w:asciiTheme="minorHAnsi" w:hAnsiTheme="minorHAnsi" w:cstheme="minorHAnsi"/>
          <w:sz w:val="22"/>
        </w:rPr>
        <w:t xml:space="preserve"> MWh. Zamawiający zastrzega, że wartość ta ma charakter orientacyjny i nie stanowi zobowiązania ze strony Zamawiającego do zakupu energii elektrycznej w podanej ilości. Rzeczywista ilość zakupionej energii elektrycznej wynikać będzie z aktualnych potrzeb Zamawiającego w trakcie realizacji umowy. Zamawiający zastrzega również, że ilość zakupionej energii elektrycznej może ulec zwiększeniu/zmniejszeniu w stosunku do ww. prognozy, jednak nie więcej niż o 50% wskazanej wyżej wielkości.</w:t>
      </w:r>
      <w:r w:rsidRPr="00732ADB">
        <w:rPr>
          <w:rFonts w:asciiTheme="minorHAnsi" w:hAnsiTheme="minorHAnsi" w:cstheme="minorHAnsi"/>
          <w:b/>
          <w:sz w:val="22"/>
        </w:rPr>
        <w:t xml:space="preserve"> </w:t>
      </w:r>
      <w:r w:rsidRPr="00732ADB">
        <w:rPr>
          <w:rFonts w:asciiTheme="minorHAnsi" w:eastAsia="Univers-PL" w:hAnsiTheme="minorHAnsi" w:cstheme="minorHAnsi"/>
          <w:bCs/>
          <w:sz w:val="22"/>
        </w:rPr>
        <w:t xml:space="preserve">Wskazana  ilość energii jest ilością szacunkową do celów obliczenia ceny i porównania złożonych ofert – ustalona ona została w oparciu o dotychczasowe zużycie. </w:t>
      </w: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732ADB">
        <w:rPr>
          <w:rFonts w:asciiTheme="minorHAnsi" w:hAnsiTheme="minorHAnsi" w:cstheme="minorHAnsi"/>
          <w:sz w:val="22"/>
        </w:rPr>
        <w:t>Wielkości planowanego zużycia są wielkościami szacunkowymi. Rzeczywiste ilości sprzedanej Zamawiającemu przez Wykonawcę energii elektrycznej zostaną rozliczone po stałej cenie za 1 MWh dla wszystkich Punktów Poboru Energii (dla wszystkich grup taryfowych i stref czasowych) określonej w ofercie Wykonawcy.</w:t>
      </w: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732ADB">
        <w:rPr>
          <w:rFonts w:asciiTheme="minorHAnsi" w:hAnsiTheme="minorHAnsi" w:cstheme="minorHAnsi"/>
          <w:sz w:val="22"/>
        </w:rPr>
        <w:t>Opłata handlowa, usługa bilansowania z tytułu zakupu energii i inne poniesione koszty związane z realizacją przedmiotu umowy ma być wliczona do ceny jednostkowej  za 1 MWh energii elektrycznej.</w:t>
      </w: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732ADB">
        <w:rPr>
          <w:rFonts w:asciiTheme="minorHAnsi" w:hAnsiTheme="minorHAnsi" w:cstheme="minorHAnsi"/>
          <w:sz w:val="22"/>
        </w:rPr>
        <w:t>Zamawiający zastrzega możliwość zmiany ilości Punktów Poboru Energii ze względu na sprzedaż lub przyłączenie nowych posesji, budynków.</w:t>
      </w: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732ADB">
        <w:rPr>
          <w:rFonts w:asciiTheme="minorHAnsi" w:hAnsiTheme="minorHAnsi" w:cstheme="minorHAnsi"/>
          <w:sz w:val="22"/>
        </w:rPr>
        <w:t>Zamawiający dopuszcza rozliczanie zużycia energii elektrycznej dla poszczególnych PPE zgodnie z odczytami i rozliczeniami zużycia energii elektrycznej dla poszczególnych  PPE dokonywanymi przez OSD.</w:t>
      </w:r>
    </w:p>
    <w:p w:rsidR="00326C1B" w:rsidRPr="00732ADB" w:rsidRDefault="00326C1B" w:rsidP="00326C1B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732ADB">
        <w:rPr>
          <w:rFonts w:asciiTheme="minorHAnsi" w:hAnsiTheme="minorHAnsi" w:cstheme="minorHAnsi"/>
          <w:sz w:val="22"/>
        </w:rPr>
        <w:t>Zamawiający wymaga, aby dostawy energii elektrycznej odbywały się w cyklu ciągłym 24 godziny na dobę przez 7 dni w tygodniu i spełniały standardy jakościowe określone w ustawie Prawo Energetyczne i aktach wykonawczych.</w:t>
      </w:r>
    </w:p>
    <w:p w:rsidR="00326C1B" w:rsidRDefault="00326C1B" w:rsidP="00326C1B">
      <w:pPr>
        <w:suppressAutoHyphens w:val="0"/>
        <w:spacing w:line="276" w:lineRule="auto"/>
        <w:jc w:val="both"/>
        <w:rPr>
          <w:rFonts w:cs="Calibri"/>
        </w:rPr>
      </w:pPr>
    </w:p>
    <w:p w:rsidR="00326C1B" w:rsidRDefault="00326C1B" w:rsidP="00326C1B">
      <w:pPr>
        <w:suppressAutoHyphens w:val="0"/>
        <w:spacing w:line="276" w:lineRule="auto"/>
        <w:jc w:val="both"/>
        <w:rPr>
          <w:rFonts w:cs="Calibri"/>
          <w:b/>
        </w:rPr>
      </w:pPr>
    </w:p>
    <w:p w:rsidR="00732ADB" w:rsidRDefault="00732ADB" w:rsidP="00326C1B">
      <w:pPr>
        <w:suppressAutoHyphens w:val="0"/>
        <w:spacing w:line="276" w:lineRule="auto"/>
        <w:jc w:val="both"/>
        <w:rPr>
          <w:rFonts w:cs="Calibri"/>
          <w:b/>
        </w:rPr>
      </w:pPr>
    </w:p>
    <w:p w:rsidR="00727F4D" w:rsidRDefault="00727F4D" w:rsidP="00326C1B">
      <w:pPr>
        <w:suppressAutoHyphens w:val="0"/>
        <w:spacing w:line="276" w:lineRule="auto"/>
        <w:jc w:val="both"/>
        <w:rPr>
          <w:rFonts w:cs="Calibri"/>
          <w:b/>
        </w:rPr>
      </w:pPr>
    </w:p>
    <w:p w:rsidR="00676E86" w:rsidRDefault="00676E86" w:rsidP="00326C1B">
      <w:pPr>
        <w:suppressAutoHyphens w:val="0"/>
        <w:spacing w:line="276" w:lineRule="auto"/>
        <w:jc w:val="both"/>
        <w:rPr>
          <w:rFonts w:cs="Calibri"/>
          <w:b/>
        </w:rPr>
      </w:pPr>
      <w:bookmarkStart w:id="0" w:name="_GoBack"/>
      <w:bookmarkEnd w:id="0"/>
    </w:p>
    <w:p w:rsidR="00207AE2" w:rsidRDefault="00207AE2" w:rsidP="00326C1B">
      <w:pPr>
        <w:suppressAutoHyphens w:val="0"/>
        <w:spacing w:line="276" w:lineRule="auto"/>
        <w:jc w:val="both"/>
        <w:rPr>
          <w:rFonts w:cs="Calibri"/>
          <w:b/>
        </w:rPr>
      </w:pPr>
    </w:p>
    <w:p w:rsidR="0053044A" w:rsidRPr="002B7327" w:rsidRDefault="0053044A" w:rsidP="00326C1B">
      <w:pPr>
        <w:suppressAutoHyphens w:val="0"/>
        <w:spacing w:line="276" w:lineRule="auto"/>
        <w:jc w:val="both"/>
        <w:rPr>
          <w:rFonts w:cs="Calibri"/>
          <w:b/>
        </w:rPr>
      </w:pPr>
    </w:p>
    <w:tbl>
      <w:tblPr>
        <w:tblW w:w="1480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0489"/>
      </w:tblGrid>
      <w:tr w:rsidR="00326C1B" w:rsidRPr="00E45064" w:rsidTr="00A35FF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1B" w:rsidRPr="00A35FFF" w:rsidRDefault="00326C1B" w:rsidP="007C2BA1">
            <w:pPr>
              <w:ind w:left="426" w:hanging="426"/>
              <w:jc w:val="both"/>
              <w:rPr>
                <w:rFonts w:ascii="Calibri" w:hAnsi="Calibri" w:cs="Calibri"/>
                <w:b/>
                <w:iCs/>
              </w:rPr>
            </w:pPr>
            <w:r w:rsidRPr="00A35FFF">
              <w:rPr>
                <w:rFonts w:ascii="Calibri" w:hAnsi="Calibri" w:cs="Calibri"/>
                <w:b/>
                <w:iCs/>
              </w:rPr>
              <w:lastRenderedPageBreak/>
              <w:t>OBIEKT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C1B" w:rsidRPr="00A35FFF" w:rsidRDefault="00112CF0" w:rsidP="007C2BA1">
            <w:p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A35FFF">
              <w:rPr>
                <w:rFonts w:ascii="Calibri" w:hAnsi="Calibri" w:cs="Calibri"/>
                <w:b/>
              </w:rPr>
              <w:t>Wojewódzki Ośrodek Medycyny Pracy Centrum Profilaktyczno-Lecznicze w Lublinie</w:t>
            </w:r>
            <w:r w:rsidR="00326C1B" w:rsidRPr="00A35FFF">
              <w:rPr>
                <w:rFonts w:ascii="Calibri" w:hAnsi="Calibri" w:cs="Calibri"/>
                <w:b/>
              </w:rPr>
              <w:t xml:space="preserve"> </w:t>
            </w:r>
          </w:p>
          <w:p w:rsidR="00326C1B" w:rsidRPr="00A35FFF" w:rsidRDefault="00326C1B" w:rsidP="007C2BA1">
            <w:pPr>
              <w:ind w:left="426" w:hanging="426"/>
              <w:jc w:val="both"/>
              <w:rPr>
                <w:rFonts w:ascii="Calibri" w:hAnsi="Calibri" w:cs="Calibri"/>
                <w:b/>
                <w:iCs/>
                <w:color w:val="FF0000"/>
              </w:rPr>
            </w:pPr>
            <w:r w:rsidRPr="00A35FFF">
              <w:rPr>
                <w:rFonts w:ascii="Calibri" w:hAnsi="Calibri" w:cs="Calibri"/>
                <w:b/>
              </w:rPr>
              <w:t xml:space="preserve">ul. </w:t>
            </w:r>
            <w:r w:rsidR="00112CF0" w:rsidRPr="00A35FFF">
              <w:rPr>
                <w:rFonts w:ascii="Calibri" w:hAnsi="Calibri" w:cs="Calibri"/>
                <w:b/>
              </w:rPr>
              <w:t>Nałęczowska 2</w:t>
            </w:r>
            <w:r w:rsidRPr="00A35FFF">
              <w:rPr>
                <w:rFonts w:ascii="Calibri" w:hAnsi="Calibri" w:cs="Calibri"/>
                <w:b/>
              </w:rPr>
              <w:t>7, 20-</w:t>
            </w:r>
            <w:r w:rsidR="00112CF0" w:rsidRPr="00A35FFF">
              <w:rPr>
                <w:rFonts w:ascii="Calibri" w:hAnsi="Calibri" w:cs="Calibri"/>
                <w:b/>
              </w:rPr>
              <w:t>701</w:t>
            </w:r>
            <w:r w:rsidRPr="00A35FFF">
              <w:rPr>
                <w:rFonts w:ascii="Calibri" w:hAnsi="Calibri" w:cs="Calibri"/>
                <w:b/>
              </w:rPr>
              <w:t xml:space="preserve"> Lublin</w:t>
            </w:r>
          </w:p>
        </w:tc>
      </w:tr>
      <w:tr w:rsidR="00A35FFF" w:rsidRPr="00E45064" w:rsidTr="00A35FFF">
        <w:trPr>
          <w:trHeight w:val="4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Miejsce poboru energii elektrycznej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A35FFF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Układ pomiarowo-rozliczeniowy PPE</w:t>
            </w:r>
            <w:r>
              <w:rPr>
                <w:rFonts w:ascii="Calibri" w:hAnsi="Calibri" w:cs="Calibri"/>
                <w:bCs/>
                <w:iCs/>
              </w:rPr>
              <w:t>:</w:t>
            </w:r>
            <w:r w:rsidRPr="00A35FFF">
              <w:rPr>
                <w:rFonts w:ascii="Calibri" w:hAnsi="Calibri" w:cs="Calibri"/>
                <w:bCs/>
                <w:iCs/>
              </w:rPr>
              <w:t xml:space="preserve"> </w:t>
            </w:r>
            <w:r w:rsidRPr="00A35FFF">
              <w:rPr>
                <w:rFonts w:asciiTheme="minorHAnsi" w:hAnsiTheme="minorHAnsi" w:cstheme="minorHAnsi"/>
                <w:color w:val="auto"/>
                <w:kern w:val="0"/>
                <w:lang w:eastAsia="pl-PL"/>
              </w:rPr>
              <w:t>590543520102006091</w:t>
            </w:r>
          </w:p>
        </w:tc>
      </w:tr>
      <w:tr w:rsidR="00A35FFF" w:rsidRPr="006245D2" w:rsidTr="00A35FFF">
        <w:trPr>
          <w:trHeight w:val="4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Moc przyłączeniowa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200</w:t>
            </w:r>
            <w:r w:rsidRPr="00A35FFF">
              <w:rPr>
                <w:rFonts w:ascii="Calibri" w:hAnsi="Calibri" w:cs="Calibri"/>
                <w:bCs/>
                <w:iCs/>
              </w:rPr>
              <w:t xml:space="preserve"> kW</w:t>
            </w:r>
          </w:p>
        </w:tc>
      </w:tr>
      <w:tr w:rsidR="00A35FFF" w:rsidRPr="00E45064" w:rsidTr="00A35FFF">
        <w:trPr>
          <w:trHeight w:val="4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Grupa taryfowa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C21</w:t>
            </w:r>
          </w:p>
        </w:tc>
      </w:tr>
      <w:tr w:rsidR="00A35FFF" w:rsidRPr="00E45064" w:rsidTr="00A35FFF">
        <w:trPr>
          <w:trHeight w:val="4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 xml:space="preserve">Napięcie zasilania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0,4 kV</w:t>
            </w:r>
          </w:p>
        </w:tc>
      </w:tr>
      <w:tr w:rsidR="00A35FFF" w:rsidRPr="006245D2" w:rsidTr="00A35FFF">
        <w:trPr>
          <w:trHeight w:val="4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Grupa przyłączeniowa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I</w:t>
            </w:r>
            <w:r>
              <w:rPr>
                <w:rFonts w:ascii="Calibri" w:hAnsi="Calibri" w:cs="Calibri"/>
                <w:bCs/>
                <w:iCs/>
              </w:rPr>
              <w:t>V</w:t>
            </w:r>
          </w:p>
        </w:tc>
      </w:tr>
      <w:tr w:rsidR="00A35FFF" w:rsidRPr="00E45064" w:rsidTr="00A35FFF">
        <w:trPr>
          <w:trHeight w:val="4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Układ pomiarowy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A35FFF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Z odczytem zdalnym (możliwość radiowej transmisji danych)</w:t>
            </w:r>
          </w:p>
        </w:tc>
      </w:tr>
      <w:tr w:rsidR="00A35FFF" w:rsidRPr="00E45064" w:rsidTr="00A35FFF">
        <w:trPr>
          <w:trHeight w:val="4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Okres obowiązywania umowy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7C2BA1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207AE2">
              <w:rPr>
                <w:rFonts w:ascii="Calibri" w:hAnsi="Calibri" w:cs="Calibri"/>
                <w:bCs/>
                <w:iCs/>
              </w:rPr>
              <w:t>29 miesięcy</w:t>
            </w:r>
            <w:r w:rsidR="00207AE2">
              <w:rPr>
                <w:rFonts w:ascii="Calibri" w:hAnsi="Calibri" w:cs="Calibri"/>
                <w:bCs/>
                <w:iCs/>
              </w:rPr>
              <w:t xml:space="preserve"> </w:t>
            </w:r>
          </w:p>
        </w:tc>
      </w:tr>
      <w:tr w:rsidR="00A35FFF" w:rsidRPr="00E45064" w:rsidTr="00A82329">
        <w:trPr>
          <w:trHeight w:val="12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FFF" w:rsidRPr="00A35FFF" w:rsidRDefault="00A35FFF" w:rsidP="007C2BA1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iCs/>
              </w:rPr>
              <w:t xml:space="preserve">Prognozowane zużycie energii elektrycznej w ciągu </w:t>
            </w:r>
            <w:r w:rsidR="00A82329">
              <w:rPr>
                <w:rFonts w:ascii="Calibri" w:hAnsi="Calibri" w:cs="Calibri"/>
                <w:iCs/>
              </w:rPr>
              <w:t>2</w:t>
            </w:r>
            <w:r w:rsidRPr="00A35FFF">
              <w:rPr>
                <w:rFonts w:ascii="Calibri" w:hAnsi="Calibri" w:cs="Calibri"/>
                <w:iCs/>
              </w:rPr>
              <w:t>9 miesięcy (na podstawie analizy wydatków z poprzednich miesięcy) wynosi około: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FF" w:rsidRPr="00A35FFF" w:rsidRDefault="00A35FFF" w:rsidP="00A82329">
            <w:pPr>
              <w:ind w:left="426" w:hanging="426"/>
              <w:jc w:val="both"/>
              <w:rPr>
                <w:rFonts w:ascii="Calibri" w:hAnsi="Calibri" w:cs="Calibri"/>
                <w:bCs/>
                <w:iCs/>
              </w:rPr>
            </w:pPr>
            <w:r w:rsidRPr="00A35FFF">
              <w:rPr>
                <w:rFonts w:ascii="Calibri" w:hAnsi="Calibri" w:cs="Calibri"/>
                <w:bCs/>
                <w:iCs/>
              </w:rPr>
              <w:t>Zużycie energii elektrycznej (MWh)</w:t>
            </w:r>
            <w:r w:rsidR="00A82329">
              <w:rPr>
                <w:rFonts w:ascii="Calibri" w:hAnsi="Calibri" w:cs="Calibri"/>
                <w:bCs/>
                <w:iCs/>
              </w:rPr>
              <w:t>: 1 356</w:t>
            </w:r>
          </w:p>
        </w:tc>
      </w:tr>
    </w:tbl>
    <w:p w:rsidR="00326C1B" w:rsidRDefault="00326C1B" w:rsidP="00326C1B">
      <w:pPr>
        <w:rPr>
          <w:b/>
          <w:sz w:val="22"/>
          <w:szCs w:val="20"/>
        </w:rPr>
      </w:pPr>
    </w:p>
    <w:p w:rsidR="00207AE2" w:rsidRDefault="00207AE2" w:rsidP="00326C1B">
      <w:pPr>
        <w:rPr>
          <w:b/>
          <w:sz w:val="22"/>
          <w:szCs w:val="20"/>
        </w:rPr>
      </w:pPr>
    </w:p>
    <w:p w:rsidR="00207AE2" w:rsidRDefault="00207AE2" w:rsidP="00326C1B">
      <w:pPr>
        <w:rPr>
          <w:b/>
          <w:sz w:val="22"/>
          <w:szCs w:val="20"/>
        </w:rPr>
      </w:pPr>
    </w:p>
    <w:p w:rsidR="00207AE2" w:rsidRDefault="00207AE2" w:rsidP="00326C1B">
      <w:pPr>
        <w:rPr>
          <w:b/>
          <w:sz w:val="22"/>
          <w:szCs w:val="20"/>
        </w:rPr>
      </w:pPr>
    </w:p>
    <w:p w:rsidR="00207AE2" w:rsidRDefault="00207AE2" w:rsidP="00326C1B">
      <w:pPr>
        <w:rPr>
          <w:b/>
          <w:sz w:val="22"/>
          <w:szCs w:val="20"/>
        </w:rPr>
      </w:pPr>
    </w:p>
    <w:p w:rsidR="00207AE2" w:rsidRDefault="00207AE2" w:rsidP="00326C1B">
      <w:pPr>
        <w:rPr>
          <w:b/>
          <w:sz w:val="22"/>
          <w:szCs w:val="20"/>
        </w:rPr>
      </w:pPr>
    </w:p>
    <w:p w:rsidR="00207AE2" w:rsidRDefault="00207AE2" w:rsidP="00207AE2">
      <w:pPr>
        <w:pStyle w:val="Standard"/>
        <w:spacing w:after="0" w:line="240" w:lineRule="auto"/>
        <w:jc w:val="right"/>
      </w:pPr>
      <w:r>
        <w:rPr>
          <w:rFonts w:eastAsia="Times New Roman" w:cs="Calibri"/>
          <w:color w:val="000000"/>
          <w:kern w:val="0"/>
          <w:lang w:eastAsia="pl-PL"/>
        </w:rPr>
        <w:t>(podpis kwalifikowany, zaufany lub osobisty)</w:t>
      </w:r>
    </w:p>
    <w:p w:rsidR="00207AE2" w:rsidRPr="00326C1B" w:rsidRDefault="00207AE2" w:rsidP="00326C1B">
      <w:pPr>
        <w:rPr>
          <w:b/>
          <w:sz w:val="22"/>
          <w:szCs w:val="20"/>
        </w:rPr>
      </w:pPr>
    </w:p>
    <w:sectPr w:rsidR="00207AE2" w:rsidRPr="00326C1B" w:rsidSect="00081999">
      <w:pgSz w:w="16838" w:h="11906" w:orient="landscape"/>
      <w:pgMar w:top="709" w:right="96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46" w:rsidRDefault="00195E46" w:rsidP="00444299">
      <w:r>
        <w:separator/>
      </w:r>
    </w:p>
  </w:endnote>
  <w:endnote w:type="continuationSeparator" w:id="0">
    <w:p w:rsidR="00195E46" w:rsidRDefault="00195E46" w:rsidP="004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1">
    <w:altName w:val="Times New Roman"/>
    <w:panose1 w:val="00000000000000000000"/>
    <w:charset w:val="00"/>
    <w:family w:val="roman"/>
    <w:notTrueType/>
    <w:pitch w:val="default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46" w:rsidRDefault="00195E46" w:rsidP="00444299">
      <w:r>
        <w:separator/>
      </w:r>
    </w:p>
  </w:footnote>
  <w:footnote w:type="continuationSeparator" w:id="0">
    <w:p w:rsidR="00195E46" w:rsidRDefault="00195E46" w:rsidP="0044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7F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1ED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A4C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7E23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D47"/>
    <w:multiLevelType w:val="hybridMultilevel"/>
    <w:tmpl w:val="45E0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EA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266A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4C74"/>
    <w:multiLevelType w:val="hybridMultilevel"/>
    <w:tmpl w:val="2A821382"/>
    <w:lvl w:ilvl="0" w:tplc="D1564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1480A"/>
    <w:multiLevelType w:val="hybridMultilevel"/>
    <w:tmpl w:val="B37AC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C068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F111F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61E1D"/>
    <w:multiLevelType w:val="hybridMultilevel"/>
    <w:tmpl w:val="45E0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5964"/>
    <w:multiLevelType w:val="hybridMultilevel"/>
    <w:tmpl w:val="CBC87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07DF1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93BE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978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59C6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2999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443D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7146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B6C3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D4D1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7040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512F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C76D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639E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67B7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344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3143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C511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487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72E9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D0B7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0174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6C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17C4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F499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9377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101A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42D2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16"/>
  </w:num>
  <w:num w:numId="5">
    <w:abstractNumId w:val="29"/>
  </w:num>
  <w:num w:numId="6">
    <w:abstractNumId w:val="10"/>
  </w:num>
  <w:num w:numId="7">
    <w:abstractNumId w:val="38"/>
  </w:num>
  <w:num w:numId="8">
    <w:abstractNumId w:val="22"/>
  </w:num>
  <w:num w:numId="9">
    <w:abstractNumId w:val="19"/>
  </w:num>
  <w:num w:numId="10">
    <w:abstractNumId w:val="39"/>
  </w:num>
  <w:num w:numId="11">
    <w:abstractNumId w:val="32"/>
  </w:num>
  <w:num w:numId="12">
    <w:abstractNumId w:val="30"/>
  </w:num>
  <w:num w:numId="13">
    <w:abstractNumId w:val="27"/>
  </w:num>
  <w:num w:numId="14">
    <w:abstractNumId w:val="35"/>
  </w:num>
  <w:num w:numId="15">
    <w:abstractNumId w:val="18"/>
  </w:num>
  <w:num w:numId="16">
    <w:abstractNumId w:val="15"/>
  </w:num>
  <w:num w:numId="17">
    <w:abstractNumId w:val="28"/>
  </w:num>
  <w:num w:numId="18">
    <w:abstractNumId w:val="36"/>
  </w:num>
  <w:num w:numId="19">
    <w:abstractNumId w:val="37"/>
  </w:num>
  <w:num w:numId="20">
    <w:abstractNumId w:val="5"/>
  </w:num>
  <w:num w:numId="21">
    <w:abstractNumId w:val="2"/>
  </w:num>
  <w:num w:numId="22">
    <w:abstractNumId w:val="0"/>
  </w:num>
  <w:num w:numId="23">
    <w:abstractNumId w:val="24"/>
  </w:num>
  <w:num w:numId="24">
    <w:abstractNumId w:val="26"/>
  </w:num>
  <w:num w:numId="25">
    <w:abstractNumId w:val="20"/>
  </w:num>
  <w:num w:numId="26">
    <w:abstractNumId w:val="21"/>
  </w:num>
  <w:num w:numId="27">
    <w:abstractNumId w:val="25"/>
  </w:num>
  <w:num w:numId="28">
    <w:abstractNumId w:val="14"/>
  </w:num>
  <w:num w:numId="29">
    <w:abstractNumId w:val="34"/>
  </w:num>
  <w:num w:numId="30">
    <w:abstractNumId w:val="6"/>
  </w:num>
  <w:num w:numId="31">
    <w:abstractNumId w:val="1"/>
  </w:num>
  <w:num w:numId="32">
    <w:abstractNumId w:val="13"/>
  </w:num>
  <w:num w:numId="33">
    <w:abstractNumId w:val="33"/>
  </w:num>
  <w:num w:numId="34">
    <w:abstractNumId w:val="3"/>
  </w:num>
  <w:num w:numId="35">
    <w:abstractNumId w:val="23"/>
  </w:num>
  <w:num w:numId="36">
    <w:abstractNumId w:val="17"/>
  </w:num>
  <w:num w:numId="37">
    <w:abstractNumId w:val="11"/>
  </w:num>
  <w:num w:numId="38">
    <w:abstractNumId w:val="4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9"/>
    <w:rsid w:val="00000EFB"/>
    <w:rsid w:val="00016C90"/>
    <w:rsid w:val="000706A5"/>
    <w:rsid w:val="00072A01"/>
    <w:rsid w:val="000763B9"/>
    <w:rsid w:val="00076677"/>
    <w:rsid w:val="00081999"/>
    <w:rsid w:val="000843BE"/>
    <w:rsid w:val="0009664B"/>
    <w:rsid w:val="000A72E2"/>
    <w:rsid w:val="000B0636"/>
    <w:rsid w:val="000B4E92"/>
    <w:rsid w:val="000F06D4"/>
    <w:rsid w:val="00112CF0"/>
    <w:rsid w:val="00140C81"/>
    <w:rsid w:val="00145198"/>
    <w:rsid w:val="001514AC"/>
    <w:rsid w:val="00161662"/>
    <w:rsid w:val="00193762"/>
    <w:rsid w:val="00195E46"/>
    <w:rsid w:val="001A03E3"/>
    <w:rsid w:val="001A43BE"/>
    <w:rsid w:val="001A7D7B"/>
    <w:rsid w:val="001B0AA4"/>
    <w:rsid w:val="001B60DB"/>
    <w:rsid w:val="001B717B"/>
    <w:rsid w:val="001C03EA"/>
    <w:rsid w:val="001C5251"/>
    <w:rsid w:val="001F3C4F"/>
    <w:rsid w:val="00207283"/>
    <w:rsid w:val="00207AE2"/>
    <w:rsid w:val="002102DE"/>
    <w:rsid w:val="002318F8"/>
    <w:rsid w:val="00234A79"/>
    <w:rsid w:val="00235C57"/>
    <w:rsid w:val="00240026"/>
    <w:rsid w:val="002444F0"/>
    <w:rsid w:val="00257DEC"/>
    <w:rsid w:val="002A7A65"/>
    <w:rsid w:val="002B09C2"/>
    <w:rsid w:val="002B6C8A"/>
    <w:rsid w:val="002C37E3"/>
    <w:rsid w:val="002C50A6"/>
    <w:rsid w:val="002C6D97"/>
    <w:rsid w:val="002D2CAE"/>
    <w:rsid w:val="002F4360"/>
    <w:rsid w:val="00317FC2"/>
    <w:rsid w:val="00326C1B"/>
    <w:rsid w:val="00336E45"/>
    <w:rsid w:val="00376CF1"/>
    <w:rsid w:val="003B11EC"/>
    <w:rsid w:val="003D0EC0"/>
    <w:rsid w:val="003F3453"/>
    <w:rsid w:val="003F3FC1"/>
    <w:rsid w:val="003F6CDE"/>
    <w:rsid w:val="003F6FB2"/>
    <w:rsid w:val="00402911"/>
    <w:rsid w:val="00407D92"/>
    <w:rsid w:val="00415A13"/>
    <w:rsid w:val="00420FCC"/>
    <w:rsid w:val="00421A65"/>
    <w:rsid w:val="00423BF7"/>
    <w:rsid w:val="00431144"/>
    <w:rsid w:val="00436A16"/>
    <w:rsid w:val="00444299"/>
    <w:rsid w:val="004661EC"/>
    <w:rsid w:val="00470542"/>
    <w:rsid w:val="0047571B"/>
    <w:rsid w:val="0047676A"/>
    <w:rsid w:val="004831D4"/>
    <w:rsid w:val="00493A6B"/>
    <w:rsid w:val="004A37C6"/>
    <w:rsid w:val="004B1316"/>
    <w:rsid w:val="004B6CB9"/>
    <w:rsid w:val="004D07CB"/>
    <w:rsid w:val="004D2F96"/>
    <w:rsid w:val="004D40A7"/>
    <w:rsid w:val="004F6760"/>
    <w:rsid w:val="00507462"/>
    <w:rsid w:val="0051123C"/>
    <w:rsid w:val="00527361"/>
    <w:rsid w:val="0053044A"/>
    <w:rsid w:val="0054107B"/>
    <w:rsid w:val="00544ECD"/>
    <w:rsid w:val="005923EA"/>
    <w:rsid w:val="005A79B3"/>
    <w:rsid w:val="005B7B04"/>
    <w:rsid w:val="005E0D26"/>
    <w:rsid w:val="0060001E"/>
    <w:rsid w:val="00614089"/>
    <w:rsid w:val="006147AA"/>
    <w:rsid w:val="00630808"/>
    <w:rsid w:val="0063163D"/>
    <w:rsid w:val="00632A00"/>
    <w:rsid w:val="00636972"/>
    <w:rsid w:val="006463E6"/>
    <w:rsid w:val="00647A18"/>
    <w:rsid w:val="00670702"/>
    <w:rsid w:val="00676E86"/>
    <w:rsid w:val="00683EF5"/>
    <w:rsid w:val="00691FE3"/>
    <w:rsid w:val="006969B7"/>
    <w:rsid w:val="006A644B"/>
    <w:rsid w:val="006B1481"/>
    <w:rsid w:val="006C4B0F"/>
    <w:rsid w:val="006D08D3"/>
    <w:rsid w:val="0071276F"/>
    <w:rsid w:val="007225E5"/>
    <w:rsid w:val="00727F4D"/>
    <w:rsid w:val="00732ADB"/>
    <w:rsid w:val="00747D9F"/>
    <w:rsid w:val="00761F8B"/>
    <w:rsid w:val="007751FD"/>
    <w:rsid w:val="007A45A2"/>
    <w:rsid w:val="007C68E6"/>
    <w:rsid w:val="007E5BF1"/>
    <w:rsid w:val="007F3227"/>
    <w:rsid w:val="007F46E2"/>
    <w:rsid w:val="00800E53"/>
    <w:rsid w:val="00810853"/>
    <w:rsid w:val="0081458A"/>
    <w:rsid w:val="0082598E"/>
    <w:rsid w:val="00827DF6"/>
    <w:rsid w:val="00837BD4"/>
    <w:rsid w:val="0088046A"/>
    <w:rsid w:val="008811D3"/>
    <w:rsid w:val="008B21C4"/>
    <w:rsid w:val="008E072C"/>
    <w:rsid w:val="008E58DA"/>
    <w:rsid w:val="008E6FE2"/>
    <w:rsid w:val="008F3F8C"/>
    <w:rsid w:val="0091208A"/>
    <w:rsid w:val="00915719"/>
    <w:rsid w:val="00921F83"/>
    <w:rsid w:val="00924CF5"/>
    <w:rsid w:val="009330AF"/>
    <w:rsid w:val="009628C5"/>
    <w:rsid w:val="00991BD2"/>
    <w:rsid w:val="009A7B02"/>
    <w:rsid w:val="009B0E06"/>
    <w:rsid w:val="009E2C13"/>
    <w:rsid w:val="009E49E7"/>
    <w:rsid w:val="009F3E28"/>
    <w:rsid w:val="009F6D68"/>
    <w:rsid w:val="00A35FFF"/>
    <w:rsid w:val="00A53BF1"/>
    <w:rsid w:val="00A53EE4"/>
    <w:rsid w:val="00A617AD"/>
    <w:rsid w:val="00A62F5A"/>
    <w:rsid w:val="00A6539D"/>
    <w:rsid w:val="00A82329"/>
    <w:rsid w:val="00AA16FA"/>
    <w:rsid w:val="00AA5E58"/>
    <w:rsid w:val="00AA734F"/>
    <w:rsid w:val="00B055B9"/>
    <w:rsid w:val="00B11174"/>
    <w:rsid w:val="00B36444"/>
    <w:rsid w:val="00B546FB"/>
    <w:rsid w:val="00B56B0F"/>
    <w:rsid w:val="00B827A7"/>
    <w:rsid w:val="00B85FA2"/>
    <w:rsid w:val="00B9067E"/>
    <w:rsid w:val="00BA0BD7"/>
    <w:rsid w:val="00BA5E6F"/>
    <w:rsid w:val="00BA7591"/>
    <w:rsid w:val="00BD1EED"/>
    <w:rsid w:val="00BD3C9F"/>
    <w:rsid w:val="00BD7E98"/>
    <w:rsid w:val="00BE1B33"/>
    <w:rsid w:val="00BF291D"/>
    <w:rsid w:val="00C14BEC"/>
    <w:rsid w:val="00C27689"/>
    <w:rsid w:val="00C628D3"/>
    <w:rsid w:val="00C73543"/>
    <w:rsid w:val="00C757AE"/>
    <w:rsid w:val="00C77B60"/>
    <w:rsid w:val="00CA46ED"/>
    <w:rsid w:val="00CB573D"/>
    <w:rsid w:val="00CE5706"/>
    <w:rsid w:val="00CE7271"/>
    <w:rsid w:val="00D13445"/>
    <w:rsid w:val="00D4157D"/>
    <w:rsid w:val="00D436AD"/>
    <w:rsid w:val="00D85683"/>
    <w:rsid w:val="00D93ED0"/>
    <w:rsid w:val="00DC63AF"/>
    <w:rsid w:val="00DF3677"/>
    <w:rsid w:val="00E1237B"/>
    <w:rsid w:val="00E20556"/>
    <w:rsid w:val="00E23ECA"/>
    <w:rsid w:val="00E2523A"/>
    <w:rsid w:val="00E26F3B"/>
    <w:rsid w:val="00E3132A"/>
    <w:rsid w:val="00E454F3"/>
    <w:rsid w:val="00E45595"/>
    <w:rsid w:val="00E5401F"/>
    <w:rsid w:val="00E55A6F"/>
    <w:rsid w:val="00E7412F"/>
    <w:rsid w:val="00E749B3"/>
    <w:rsid w:val="00E93132"/>
    <w:rsid w:val="00E976A6"/>
    <w:rsid w:val="00EC39C9"/>
    <w:rsid w:val="00F03576"/>
    <w:rsid w:val="00F045A4"/>
    <w:rsid w:val="00F10487"/>
    <w:rsid w:val="00F31D42"/>
    <w:rsid w:val="00F33028"/>
    <w:rsid w:val="00F35ADF"/>
    <w:rsid w:val="00F365FF"/>
    <w:rsid w:val="00F4458F"/>
    <w:rsid w:val="00F73E22"/>
    <w:rsid w:val="00F762C8"/>
    <w:rsid w:val="00F8165F"/>
    <w:rsid w:val="00FD51E3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6182C"/>
  <w15:chartTrackingRefBased/>
  <w15:docId w15:val="{888D78B2-AC36-48C7-B8F2-A71AC50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B0F"/>
    <w:pPr>
      <w:suppressAutoHyphens/>
      <w:spacing w:after="0" w:line="240" w:lineRule="auto"/>
    </w:pPr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27A7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B827A7"/>
    <w:pPr>
      <w:suppressLineNumbers/>
      <w:autoSpaceDN w:val="0"/>
      <w:textAlignment w:val="baseline"/>
    </w:pPr>
    <w:rPr>
      <w:rFonts w:eastAsia="NSimSun" w:cs="Mangal"/>
      <w:color w:val="auto"/>
      <w:kern w:val="3"/>
      <w:sz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3EA"/>
    <w:rPr>
      <w:rFonts w:ascii="Segoe UI" w:eastAsia="Times New Roman" w:hAnsi="Segoe UI" w:cs="Segoe UI"/>
      <w:bCs w:val="0"/>
      <w:iCs w:val="0"/>
      <w:color w:val="00000A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4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299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4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299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44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4299"/>
    <w:rPr>
      <w:rFonts w:ascii="Courier New" w:eastAsia="Times New Roman" w:hAnsi="Courier New" w:cs="Courier New"/>
      <w:bCs w:val="0"/>
      <w:iCs w:val="0"/>
      <w:kern w:val="0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072A01"/>
    <w:pPr>
      <w:ind w:left="720"/>
      <w:contextualSpacing/>
    </w:pPr>
  </w:style>
  <w:style w:type="paragraph" w:customStyle="1" w:styleId="Standard">
    <w:name w:val="Standard"/>
    <w:rsid w:val="00207A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bCs w:val="0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7ED1-71D0-4B5E-BBB1-BC9F9796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2024-03-13T08:23:00Z</cp:lastPrinted>
  <dcterms:created xsi:type="dcterms:W3CDTF">2024-05-15T17:22:00Z</dcterms:created>
  <dcterms:modified xsi:type="dcterms:W3CDTF">2024-05-22T15:55:00Z</dcterms:modified>
</cp:coreProperties>
</file>