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232F" w14:textId="1B007CD8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925E79">
        <w:rPr>
          <w:rFonts w:ascii="Book Antiqua" w:hAnsi="Book Antiqua"/>
          <w:sz w:val="20"/>
          <w:szCs w:val="20"/>
        </w:rPr>
        <w:t>31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C2416C">
        <w:rPr>
          <w:rFonts w:ascii="Book Antiqua" w:hAnsi="Book Antiqua"/>
          <w:sz w:val="20"/>
          <w:szCs w:val="20"/>
        </w:rPr>
        <w:t>3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238C9B51" w14:textId="77777777" w:rsidR="004B7E95" w:rsidRPr="002E40AB" w:rsidRDefault="004B7E95" w:rsidP="004370D2">
      <w:pPr>
        <w:jc w:val="right"/>
        <w:rPr>
          <w:rFonts w:ascii="Book Antiqua" w:hAnsi="Book Antiqua"/>
          <w:sz w:val="20"/>
          <w:szCs w:val="20"/>
        </w:rPr>
      </w:pP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7D89C2A5" w14:textId="77777777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3DE9BFC0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925E79">
        <w:rPr>
          <w:rFonts w:ascii="Book Antiqua" w:hAnsi="Book Antiqua"/>
          <w:b/>
        </w:rPr>
        <w:t>8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 xml:space="preserve">amówień Publicznych (t.j.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(t.j.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41C3E25D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925E79" w:rsidRPr="00925E79">
        <w:rPr>
          <w:rFonts w:ascii="Book Antiqua" w:hAnsi="Book Antiqua" w:cs="Book Antiqua"/>
          <w:i/>
          <w:iCs/>
          <w:szCs w:val="22"/>
        </w:rPr>
        <w:t>Miseczka i drut platynowy oraz odczynniki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55F0A394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925E79">
        <w:rPr>
          <w:rFonts w:ascii="Book Antiqua" w:hAnsi="Book Antiqua"/>
        </w:rPr>
        <w:t>30</w:t>
      </w:r>
      <w:r w:rsidR="00143BEB">
        <w:rPr>
          <w:rFonts w:ascii="Book Antiqua" w:hAnsi="Book Antiqua"/>
        </w:rPr>
        <w:t xml:space="preserve"> dni </w:t>
      </w:r>
      <w:r w:rsidR="00925E79">
        <w:rPr>
          <w:rFonts w:ascii="Book Antiqua" w:hAnsi="Book Antiqua"/>
        </w:rPr>
        <w:t>robocz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43BEB" w:rsidRPr="00DF12C5">
        <w:rPr>
          <w:rFonts w:ascii="Book Antiqua" w:hAnsi="Book Antiqua" w:cs="Book Antiqua"/>
        </w:rPr>
        <w:t xml:space="preserve">od dnia </w:t>
      </w:r>
      <w:r w:rsidR="00143BEB">
        <w:rPr>
          <w:rFonts w:ascii="Book Antiqua" w:hAnsi="Book Antiqua" w:cs="Book Antiqua"/>
        </w:rPr>
        <w:t>wyboru najkorzystniejszej oferty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26D9FED1" w14:textId="13361DAE" w:rsidR="00395020" w:rsidRPr="00143BEB" w:rsidRDefault="00143BEB" w:rsidP="00D2395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Przedmiotem zamówienia jest </w:t>
      </w:r>
      <w:r>
        <w:rPr>
          <w:rFonts w:ascii="Book Antiqua" w:hAnsi="Book Antiqua" w:cs="Helvetica"/>
          <w:bCs/>
          <w:color w:val="000000"/>
        </w:rPr>
        <w:t>d</w:t>
      </w:r>
      <w:r w:rsidRPr="00B45797">
        <w:rPr>
          <w:rFonts w:ascii="Book Antiqua" w:hAnsi="Book Antiqua" w:cs="Helvetica"/>
          <w:bCs/>
          <w:color w:val="000000"/>
        </w:rPr>
        <w:t xml:space="preserve">ostawa </w:t>
      </w:r>
      <w:r w:rsidR="00925E79" w:rsidRPr="00925E79">
        <w:rPr>
          <w:rFonts w:ascii="Book Antiqua" w:hAnsi="Book Antiqua" w:cs="Book Antiqua"/>
          <w:szCs w:val="22"/>
        </w:rPr>
        <w:t>Miseczk</w:t>
      </w:r>
      <w:r w:rsidR="00FE6995">
        <w:rPr>
          <w:rFonts w:ascii="Book Antiqua" w:hAnsi="Book Antiqua" w:cs="Book Antiqua"/>
          <w:szCs w:val="22"/>
        </w:rPr>
        <w:t>i</w:t>
      </w:r>
      <w:r w:rsidR="00925E79" w:rsidRPr="00925E79">
        <w:rPr>
          <w:rFonts w:ascii="Book Antiqua" w:hAnsi="Book Antiqua" w:cs="Book Antiqua"/>
          <w:szCs w:val="22"/>
        </w:rPr>
        <w:t xml:space="preserve"> i drut</w:t>
      </w:r>
      <w:r w:rsidR="00FE6995">
        <w:rPr>
          <w:rFonts w:ascii="Book Antiqua" w:hAnsi="Book Antiqua" w:cs="Book Antiqua"/>
          <w:szCs w:val="22"/>
        </w:rPr>
        <w:t>a</w:t>
      </w:r>
      <w:r w:rsidR="00925E79" w:rsidRPr="00925E79">
        <w:rPr>
          <w:rFonts w:ascii="Book Antiqua" w:hAnsi="Book Antiqua" w:cs="Book Antiqua"/>
          <w:szCs w:val="22"/>
        </w:rPr>
        <w:t xml:space="preserve"> </w:t>
      </w:r>
      <w:r w:rsidR="00FE6995">
        <w:rPr>
          <w:rFonts w:ascii="Book Antiqua" w:hAnsi="Book Antiqua" w:cs="Book Antiqua"/>
          <w:szCs w:val="22"/>
        </w:rPr>
        <w:t xml:space="preserve">z </w:t>
      </w:r>
      <w:r w:rsidR="00925E79" w:rsidRPr="00925E79">
        <w:rPr>
          <w:rFonts w:ascii="Book Antiqua" w:hAnsi="Book Antiqua" w:cs="Book Antiqua"/>
          <w:szCs w:val="22"/>
        </w:rPr>
        <w:t>platyny oraz odczynnik</w:t>
      </w:r>
      <w:r w:rsidR="00FE6995">
        <w:rPr>
          <w:rFonts w:ascii="Book Antiqua" w:hAnsi="Book Antiqua" w:cs="Book Antiqua"/>
          <w:szCs w:val="22"/>
        </w:rPr>
        <w:t>ów</w:t>
      </w:r>
      <w:r w:rsidR="00925E79">
        <w:rPr>
          <w:rFonts w:ascii="Book Antiqua" w:hAnsi="Book Antiqua" w:cs="Book Antiqua"/>
          <w:szCs w:val="22"/>
        </w:rPr>
        <w:t xml:space="preserve"> dla instytutu Fizyki</w:t>
      </w:r>
      <w:r w:rsidRPr="00E86D78">
        <w:rPr>
          <w:rFonts w:ascii="Book Antiqua" w:hAnsi="Book Antiqua" w:cs="Book Antiqua"/>
          <w:lang w:eastAsia="pl-PL"/>
        </w:rPr>
        <w:t xml:space="preserve"> </w:t>
      </w:r>
      <w:r>
        <w:rPr>
          <w:rFonts w:ascii="Book Antiqua" w:hAnsi="Book Antiqua" w:cs="Book Antiqua"/>
          <w:lang w:eastAsia="pl-PL"/>
        </w:rPr>
        <w:t>z</w:t>
      </w:r>
      <w:r w:rsidRPr="003600F8">
        <w:rPr>
          <w:rFonts w:ascii="Book Antiqua" w:hAnsi="Book Antiqua" w:cs="Book Antiqua"/>
          <w:lang w:eastAsia="pl-PL"/>
        </w:rPr>
        <w:t xml:space="preserve"> UKW</w:t>
      </w:r>
      <w:r>
        <w:rPr>
          <w:rFonts w:ascii="Book Antiqua" w:hAnsi="Book Antiqua" w:cs="Book Antiqua"/>
          <w:lang w:eastAsia="pl-PL"/>
        </w:rPr>
        <w:t>.</w:t>
      </w:r>
      <w:r w:rsidR="00925E79">
        <w:rPr>
          <w:rFonts w:ascii="Book Antiqua" w:hAnsi="Book Antiqua" w:cs="Book Antiqua"/>
          <w:lang w:eastAsia="pl-PL"/>
        </w:rPr>
        <w:t xml:space="preserve"> </w:t>
      </w:r>
      <w:r w:rsidR="00925E79" w:rsidRPr="006B5410">
        <w:rPr>
          <w:rFonts w:ascii="Book Antiqua" w:hAnsi="Book Antiqua"/>
          <w:bCs/>
        </w:rPr>
        <w:t xml:space="preserve">Zamawiający podzielił zamówienie na </w:t>
      </w:r>
      <w:r w:rsidR="0030201B">
        <w:rPr>
          <w:rFonts w:ascii="Book Antiqua" w:hAnsi="Book Antiqua"/>
          <w:bCs/>
        </w:rPr>
        <w:t>3</w:t>
      </w:r>
      <w:r w:rsidR="00925E79" w:rsidRPr="00611172">
        <w:rPr>
          <w:rFonts w:ascii="Book Antiqua" w:hAnsi="Book Antiqua"/>
        </w:rPr>
        <w:t xml:space="preserve"> części</w:t>
      </w:r>
      <w:r w:rsidR="00925E79" w:rsidRPr="006B5410">
        <w:rPr>
          <w:rFonts w:ascii="Book Antiqua" w:hAnsi="Book Antiqua"/>
          <w:bCs/>
        </w:rPr>
        <w:t xml:space="preserve">, z których każda będzie oceniana oddzielnie. </w:t>
      </w:r>
      <w:r w:rsidR="00925E79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 w:rsidR="00925E79">
        <w:rPr>
          <w:rFonts w:ascii="Book Antiqua" w:hAnsi="Book Antiqua" w:cs="Arial"/>
        </w:rPr>
        <w:t>.</w:t>
      </w:r>
    </w:p>
    <w:p w14:paraId="14116D59" w14:textId="7777777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C2416C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7B9CA580" w14:textId="77777777" w:rsidR="00143BEB" w:rsidRPr="003600F8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43862C37" w14:textId="77777777"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0D5B189E" w14:textId="77777777"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7ACC28AE" w14:textId="77777777"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05419FC3" w14:textId="77777777" w:rsidR="00143BEB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419ABBC1" w14:textId="77777777"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821B2A1" w14:textId="77777777"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wymagania w zakresie bezpieczeństwa i higieny pracy określone  w przepisach powszechnych.</w:t>
      </w:r>
    </w:p>
    <w:p w14:paraId="6FCEAA52" w14:textId="22C4034D" w:rsidR="007241FD" w:rsidRPr="00925E79" w:rsidRDefault="007241FD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925E79">
        <w:rPr>
          <w:rFonts w:ascii="Book Antiqua" w:hAnsi="Book Antiqua" w:cs="Book Antiqua"/>
          <w:lang w:eastAsia="pl-PL"/>
        </w:rPr>
        <w:t>12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 xml:space="preserve"> jeśli nie jest określony w formularzu cenowym (załącznik nr. 2).</w:t>
      </w:r>
    </w:p>
    <w:p w14:paraId="32359195" w14:textId="77777777" w:rsidR="00925E79" w:rsidRPr="00505439" w:rsidRDefault="00925E79" w:rsidP="00925E7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  <w:r w:rsidRPr="003441C5">
        <w:rPr>
          <w:rFonts w:ascii="Book Antiqua" w:hAnsi="Book Antiqua" w:cs="Arial"/>
        </w:rPr>
        <w:t xml:space="preserve">W przypadku produktów posiadających termin przydatności do użycia Zamawiający wymaga aby </w:t>
      </w:r>
      <w:r w:rsidRPr="003441C5">
        <w:rPr>
          <w:rFonts w:ascii="Book Antiqua" w:hAnsi="Book Antiqua" w:cs="Book Antiqua"/>
          <w:spacing w:val="-6"/>
        </w:rPr>
        <w:t>okres pozostały do upływu terminu przydatności do użycia poszczególnych produktów wchodzących w skład przedmiotu zamówienia w dniu jego dostarczenia do Zamawiającego wynosił przynajmniej połowę okresu przydatności do użycia określonego przez producenta</w:t>
      </w:r>
    </w:p>
    <w:p w14:paraId="6668F1D7" w14:textId="77777777" w:rsidR="00143BEB" w:rsidRPr="00A238E3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7241FD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6312AE3A" w14:textId="77777777" w:rsidR="00143BEB" w:rsidRPr="00EB47BC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EB2E134" w14:textId="77777777" w:rsidR="00143BEB" w:rsidRPr="003600F8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2 %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0F766495" w14:textId="77777777" w:rsidR="00143BEB" w:rsidRPr="00EE2013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EE2013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2 % wartości oferty netto, </w:t>
      </w:r>
    </w:p>
    <w:p w14:paraId="4BFD4FB1" w14:textId="77777777" w:rsidR="00143BEB" w:rsidRPr="00EE2013" w:rsidRDefault="00143BEB" w:rsidP="007241FD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bCs/>
          <w:sz w:val="20"/>
        </w:rPr>
      </w:pPr>
      <w:r w:rsidRPr="00EE2013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p w14:paraId="03C996A0" w14:textId="77777777" w:rsidR="00902795" w:rsidRPr="00D9722D" w:rsidRDefault="00902795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b/>
          <w:spacing w:val="-3"/>
          <w:sz w:val="20"/>
          <w:szCs w:val="20"/>
          <w:u w:val="single"/>
        </w:rPr>
      </w:pP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14:paraId="62FAF11B" w14:textId="77777777" w:rsidTr="0045372E">
        <w:trPr>
          <w:trHeight w:val="32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E180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</w:t>
            </w: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2AF76" w14:textId="77777777" w:rsidR="00872BE6" w:rsidRPr="00BB3261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120A" w14:textId="77777777" w:rsidR="00872BE6" w:rsidRDefault="00872BE6" w:rsidP="0045372E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1AA6D0A5" w14:textId="77777777" w:rsidR="00033BEC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77777777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5F5C1D56" w14:textId="77777777" w:rsidR="00872BE6" w:rsidRPr="006B256B" w:rsidRDefault="00872BE6" w:rsidP="00872BE6">
      <w:pPr>
        <w:tabs>
          <w:tab w:val="left" w:pos="284"/>
          <w:tab w:val="left" w:pos="851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 w:rsidRPr="006B256B">
        <w:rPr>
          <w:rFonts w:ascii="Book Antiqua" w:hAnsi="Book Antiqua" w:cs="Book Antiqua"/>
          <w:b/>
          <w:sz w:val="20"/>
          <w:szCs w:val="20"/>
        </w:rPr>
        <w:t>C =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x 100 pkt x </w:t>
      </w:r>
      <w:r>
        <w:rPr>
          <w:rFonts w:ascii="Book Antiqua" w:hAnsi="Book Antiqua" w:cs="Book Antiqua"/>
          <w:b/>
          <w:sz w:val="20"/>
          <w:szCs w:val="20"/>
        </w:rPr>
        <w:t>8</w:t>
      </w:r>
      <w:r w:rsidRPr="006B256B">
        <w:rPr>
          <w:rFonts w:ascii="Book Antiqua" w:hAnsi="Book Antiqua" w:cs="Book Antiqua"/>
          <w:b/>
          <w:sz w:val="20"/>
          <w:szCs w:val="20"/>
        </w:rPr>
        <w:t>0%</w:t>
      </w:r>
    </w:p>
    <w:p w14:paraId="6BDE4AB9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49E59D48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08CFB996" w14:textId="77777777"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240F6E95" w14:textId="77777777" w:rsidR="00872BE6" w:rsidRDefault="00872BE6" w:rsidP="007241FD">
      <w:pPr>
        <w:tabs>
          <w:tab w:val="left" w:pos="0"/>
        </w:tabs>
        <w:autoSpaceDE w:val="0"/>
        <w:spacing w:after="120" w:line="360" w:lineRule="auto"/>
        <w:ind w:left="425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7F1221B7" w14:textId="77777777" w:rsidR="00872BE6" w:rsidRPr="00D9722D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D9722D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75A476A4" w14:textId="77777777"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</w:t>
      </w:r>
      <w:r w:rsidRPr="00D72D5F">
        <w:rPr>
          <w:rFonts w:ascii="Book Antiqua" w:hAnsi="Book Antiqua" w:cs="Book Antiqua"/>
          <w:sz w:val="20"/>
          <w:szCs w:val="20"/>
        </w:rPr>
        <w:t>którą kupujący jest obowiązany zap</w:t>
      </w:r>
      <w:r>
        <w:rPr>
          <w:rFonts w:ascii="Book Antiqua" w:hAnsi="Book Antiqua" w:cs="Book Antiqua"/>
          <w:sz w:val="20"/>
          <w:szCs w:val="20"/>
        </w:rPr>
        <w:t>łacić przedsiębiorcy za usługę. W cenie uwzględni się podatek VAT oraz podatek akcyzowy jeżeli na podstawie odrębnych przepisów sprzedaż podlega obciążeniu podatkiem VAT oraz podatkiem akcyzowym.</w:t>
      </w:r>
    </w:p>
    <w:p w14:paraId="416879DF" w14:textId="77777777" w:rsidR="00872BE6" w:rsidRDefault="00872BE6" w:rsidP="007241FD">
      <w:pPr>
        <w:spacing w:after="120" w:line="360" w:lineRule="auto"/>
        <w:ind w:left="425"/>
        <w:jc w:val="both"/>
        <w:rPr>
          <w:rFonts w:ascii="Book Antiqua" w:hAnsi="Book Antiqua" w:cs="Book Antiqua"/>
          <w:sz w:val="20"/>
          <w:szCs w:val="20"/>
        </w:rPr>
      </w:pPr>
      <w:r w:rsidRPr="00D9722D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>
        <w:rPr>
          <w:rFonts w:ascii="Book Antiqua" w:hAnsi="Book Antiqua" w:cs="Book Antiqua"/>
          <w:sz w:val="20"/>
          <w:szCs w:val="20"/>
        </w:rPr>
        <w:t>8</w:t>
      </w:r>
      <w:r w:rsidRPr="00D9722D">
        <w:rPr>
          <w:rFonts w:ascii="Book Antiqua" w:hAnsi="Book Antiqua" w:cs="Book Antiqua"/>
          <w:sz w:val="20"/>
          <w:szCs w:val="20"/>
        </w:rPr>
        <w:t>0 pkt.</w:t>
      </w:r>
    </w:p>
    <w:p w14:paraId="6018496F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C66348">
        <w:rPr>
          <w:rFonts w:ascii="Book Antiqua" w:hAnsi="Book Antiqua" w:cs="Book Antiqua"/>
          <w:b/>
          <w:bCs/>
          <w:sz w:val="20"/>
          <w:szCs w:val="20"/>
        </w:rPr>
        <w:t xml:space="preserve">dla kryterium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„termin realizacji zamówienia”: </w:t>
      </w:r>
      <w:r w:rsidRPr="00BB3261">
        <w:rPr>
          <w:rFonts w:ascii="Book Antiqua" w:hAnsi="Book Antiqua" w:cs="Book Antiqua"/>
          <w:sz w:val="20"/>
          <w:szCs w:val="20"/>
        </w:rPr>
        <w:t>T = 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>n</w:t>
      </w:r>
      <w:r w:rsidRPr="00BB3261">
        <w:rPr>
          <w:rFonts w:ascii="Book Antiqua" w:hAnsi="Book Antiqua" w:cs="Book Antiqua"/>
          <w:sz w:val="20"/>
          <w:szCs w:val="20"/>
        </w:rPr>
        <w:t>/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BB3261">
        <w:rPr>
          <w:rFonts w:ascii="Book Antiqua" w:hAnsi="Book Antiqua" w:cs="Book Antiqua"/>
          <w:sz w:val="20"/>
          <w:szCs w:val="20"/>
        </w:rPr>
        <w:t>x 100 pkt x</w:t>
      </w:r>
      <w:r>
        <w:rPr>
          <w:rFonts w:ascii="Book Antiqua" w:hAnsi="Book Antiqua" w:cs="Book Antiqua"/>
          <w:sz w:val="20"/>
          <w:szCs w:val="20"/>
        </w:rPr>
        <w:t xml:space="preserve"> 20</w:t>
      </w:r>
      <w:r w:rsidRPr="00BB3261">
        <w:rPr>
          <w:rFonts w:ascii="Book Antiqua" w:hAnsi="Book Antiqua" w:cs="Book Antiqua"/>
          <w:sz w:val="20"/>
          <w:szCs w:val="20"/>
        </w:rPr>
        <w:t>%</w:t>
      </w:r>
    </w:p>
    <w:p w14:paraId="1EC616F8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gdzie:</w:t>
      </w:r>
    </w:p>
    <w:p w14:paraId="306BF44C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3887D709" w14:textId="77777777"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BB326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4E513C6D" w14:textId="77777777" w:rsidR="00872BE6" w:rsidRPr="00BB3261" w:rsidRDefault="00872BE6" w:rsidP="007241FD">
      <w:pPr>
        <w:spacing w:after="120" w:line="360" w:lineRule="auto"/>
        <w:ind w:left="425"/>
        <w:jc w:val="both"/>
        <w:rPr>
          <w:rFonts w:ascii="Book Antiqua" w:hAnsi="Book Antiqua" w:cs="Book Antiqua"/>
          <w:b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BB326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1D87F85E" w14:textId="77777777" w:rsidR="00872BE6" w:rsidRPr="007241FD" w:rsidRDefault="00872BE6" w:rsidP="00872BE6">
      <w:pPr>
        <w:spacing w:after="120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7241FD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044FEEAA" w14:textId="77777777" w:rsidR="00872BE6" w:rsidRPr="00BB3261" w:rsidRDefault="00872BE6" w:rsidP="00872BE6">
      <w:pPr>
        <w:spacing w:line="360" w:lineRule="auto"/>
        <w:ind w:left="425"/>
        <w:jc w:val="both"/>
        <w:rPr>
          <w:rFonts w:ascii="Book Antiqua" w:hAnsi="Book Antiqua"/>
          <w:sz w:val="20"/>
          <w:szCs w:val="20"/>
          <w:u w:val="single"/>
        </w:rPr>
      </w:pPr>
      <w:r w:rsidRPr="00BB326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</w:t>
      </w:r>
      <w:r>
        <w:rPr>
          <w:rFonts w:ascii="Book Antiqua" w:hAnsi="Book Antiqua" w:cs="Book Antiqua"/>
          <w:sz w:val="20"/>
          <w:szCs w:val="20"/>
        </w:rPr>
        <w:t>zowania przedmiotu zamówienia.</w:t>
      </w:r>
    </w:p>
    <w:p w14:paraId="0983B24C" w14:textId="77777777" w:rsidR="00872BE6" w:rsidRPr="00BB3261" w:rsidRDefault="00872BE6" w:rsidP="007241FD">
      <w:pPr>
        <w:autoSpaceDE w:val="0"/>
        <w:spacing w:after="120" w:line="360" w:lineRule="auto"/>
        <w:ind w:left="425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W kryterium tym Wykonawca</w:t>
      </w:r>
      <w:r>
        <w:rPr>
          <w:rFonts w:ascii="Book Antiqua" w:hAnsi="Book Antiqua" w:cs="Book Antiqua"/>
          <w:sz w:val="20"/>
          <w:szCs w:val="20"/>
        </w:rPr>
        <w:t xml:space="preserve"> może otrzymać maksymalnie 20</w:t>
      </w:r>
      <w:r w:rsidRPr="00BB3261">
        <w:rPr>
          <w:rFonts w:ascii="Book Antiqua" w:hAnsi="Book Antiqua" w:cs="Book Antiqua"/>
          <w:sz w:val="20"/>
          <w:szCs w:val="20"/>
        </w:rPr>
        <w:t xml:space="preserve"> pkt.</w:t>
      </w:r>
    </w:p>
    <w:p w14:paraId="1C5BCC7A" w14:textId="77777777" w:rsidR="00872BE6" w:rsidRPr="00BB3261" w:rsidRDefault="00872BE6" w:rsidP="00872BE6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ascii="Book Antiqua" w:hAnsi="Book Antiqua" w:cs="Book Antiqua"/>
          <w:b/>
          <w:bCs/>
        </w:rPr>
      </w:pPr>
      <w:r w:rsidRPr="00BB3261">
        <w:rPr>
          <w:rFonts w:ascii="Book Antiqua" w:hAnsi="Book Antiqua" w:cs="Book Antiqua"/>
          <w:b/>
          <w:bCs/>
        </w:rPr>
        <w:t xml:space="preserve">Łączna ilość punktów ocenianej </w:t>
      </w:r>
      <w:r>
        <w:rPr>
          <w:rFonts w:ascii="Book Antiqua" w:hAnsi="Book Antiqua" w:cs="Book Antiqua"/>
          <w:b/>
          <w:bCs/>
        </w:rPr>
        <w:t>oferty (ocena końcowa): W = C + T</w:t>
      </w:r>
    </w:p>
    <w:p w14:paraId="08C02703" w14:textId="77777777"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 xml:space="preserve">gdzie: </w:t>
      </w:r>
    </w:p>
    <w:p w14:paraId="4EA54487" w14:textId="77777777"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BB326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3542CFDA" w14:textId="77777777"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sz w:val="20"/>
          <w:szCs w:val="20"/>
        </w:rPr>
        <w:t>cenę</w:t>
      </w:r>
      <w:r w:rsidRPr="00BB3261">
        <w:rPr>
          <w:rFonts w:ascii="Book Antiqua" w:hAnsi="Book Antiqua" w:cs="Book Antiqua"/>
          <w:sz w:val="20"/>
          <w:szCs w:val="20"/>
        </w:rPr>
        <w:t xml:space="preserve">, </w:t>
      </w:r>
    </w:p>
    <w:p w14:paraId="5F2CABBF" w14:textId="77777777" w:rsidR="00872BE6" w:rsidRPr="00BB3261" w:rsidRDefault="00872BE6" w:rsidP="007241FD">
      <w:pPr>
        <w:pStyle w:val="Tekstpodstawowywcity"/>
        <w:tabs>
          <w:tab w:val="left" w:pos="284"/>
        </w:tabs>
        <w:spacing w:line="360" w:lineRule="auto"/>
        <w:ind w:left="425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77777777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77777777" w:rsidR="000A531A" w:rsidRPr="00407685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51BE5E2B" w:rsidR="000A531A" w:rsidRPr="00767573" w:rsidRDefault="00925E79" w:rsidP="007241FD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8E168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7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2AF823D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</w:t>
            </w:r>
            <w:r w:rsidR="008E168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77777777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EE3313">
        <w:rPr>
          <w:rFonts w:ascii="Book Antiqua" w:hAnsi="Book Antiqua" w:cs="Arial"/>
          <w:lang w:eastAsia="pl-PL"/>
        </w:rPr>
        <w:lastRenderedPageBreak/>
        <w:t>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5C679186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925E79">
        <w:rPr>
          <w:rFonts w:ascii="Book Antiqua" w:hAnsi="Book Antiqua" w:cs="Arial"/>
          <w:sz w:val="18"/>
          <w:szCs w:val="20"/>
        </w:rPr>
        <w:t>8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5BE295F7" w14:textId="254B9795" w:rsidR="00177EA5" w:rsidRPr="00177EA5" w:rsidRDefault="004E39DD" w:rsidP="00177EA5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8667E9">
        <w:rPr>
          <w:rFonts w:ascii="Book Antiqua" w:hAnsi="Book Antiqua" w:cs="Times"/>
          <w:bCs/>
          <w:sz w:val="18"/>
          <w:szCs w:val="18"/>
        </w:rPr>
        <w:t>w sprawach merytorycznych</w:t>
      </w:r>
      <w:r w:rsidRPr="008667E9">
        <w:rPr>
          <w:rFonts w:ascii="Book Antiqua" w:hAnsi="Book Antiqua" w:cs="Times"/>
          <w:b/>
          <w:bCs/>
          <w:sz w:val="18"/>
          <w:szCs w:val="18"/>
        </w:rPr>
        <w:t>:</w:t>
      </w:r>
      <w:r w:rsidR="000052D8" w:rsidRPr="008667E9">
        <w:rPr>
          <w:rFonts w:ascii="Book Antiqua" w:hAnsi="Book Antiqua" w:cs="Tahoma"/>
          <w:sz w:val="18"/>
          <w:szCs w:val="18"/>
        </w:rPr>
        <w:t xml:space="preserve"> </w:t>
      </w:r>
      <w:r w:rsidR="0030201B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177EA5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177EA5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0201B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177EA5" w:rsidRPr="00177EA5">
        <w:rPr>
          <w:rFonts w:ascii="Book Antiqua" w:hAnsi="Book Antiqua" w:cs="Book Antiqua"/>
          <w:sz w:val="20"/>
          <w:szCs w:val="20"/>
          <w:lang w:val="de-DE"/>
        </w:rPr>
        <w:t>, e-mail:</w:t>
      </w:r>
      <w:r w:rsidR="00177EA5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0201B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7FA4A2C7" w14:textId="77777777" w:rsidR="004370D2" w:rsidRDefault="004370D2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7A47282" w14:textId="77777777" w:rsidR="00611321" w:rsidRDefault="00611321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1AC9AA17" w14:textId="77777777"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  <w:r w:rsidRPr="00C25740">
        <w:rPr>
          <w:rFonts w:ascii="Century Gothic" w:hAnsi="Century Gothic" w:cs="Book Antiqua"/>
          <w:bCs/>
          <w:sz w:val="22"/>
          <w:szCs w:val="20"/>
        </w:rPr>
        <w:t>Kanclerza UKW</w:t>
      </w:r>
    </w:p>
    <w:p w14:paraId="458EE50F" w14:textId="77777777"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</w:p>
    <w:p w14:paraId="15F64CD7" w14:textId="77777777"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  <w:r w:rsidRPr="00C25740">
        <w:rPr>
          <w:rFonts w:ascii="Century Gothic" w:hAnsi="Century Gothic" w:cs="Book Antiqua"/>
          <w:bCs/>
          <w:sz w:val="22"/>
          <w:szCs w:val="20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4647E36D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30201B">
        <w:rPr>
          <w:rFonts w:ascii="Book Antiqua" w:hAnsi="Book Antiqua"/>
          <w:b/>
          <w:sz w:val="22"/>
          <w:szCs w:val="22"/>
        </w:rPr>
        <w:t>8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82D22A6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30201B" w:rsidRPr="0030201B">
        <w:rPr>
          <w:rFonts w:ascii="Book Antiqua" w:hAnsi="Book Antiqua" w:cs="Book Antiqua"/>
          <w:i/>
          <w:iCs/>
          <w:sz w:val="20"/>
          <w:szCs w:val="18"/>
        </w:rPr>
        <w:t>Miseczka i drut platynowy</w:t>
      </w:r>
      <w:r w:rsidR="0030201B" w:rsidRPr="0030201B">
        <w:rPr>
          <w:rFonts w:ascii="Book Antiqua" w:hAnsi="Book Antiqua" w:cs="Book Antiqua"/>
          <w:i/>
          <w:iCs/>
          <w:sz w:val="16"/>
          <w:szCs w:val="18"/>
        </w:rPr>
        <w:t xml:space="preserve"> </w:t>
      </w:r>
      <w:r w:rsidR="0030201B" w:rsidRPr="0030201B">
        <w:rPr>
          <w:rFonts w:ascii="Book Antiqua" w:hAnsi="Book Antiqua" w:cs="Book Antiqua"/>
          <w:i/>
          <w:iCs/>
          <w:sz w:val="20"/>
          <w:szCs w:val="18"/>
        </w:rPr>
        <w:t>oraz odczynniki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E38E6B0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7F6B413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1E66F0FB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6E3789DF" w14:textId="6DC85BCE" w:rsidR="00872BE6" w:rsidRPr="00677C77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30201B">
        <w:rPr>
          <w:rFonts w:ascii="Book Antiqua" w:hAnsi="Book Antiqua"/>
        </w:rPr>
        <w:t>robocz</w:t>
      </w:r>
      <w:r w:rsidR="008D66DC">
        <w:rPr>
          <w:rFonts w:ascii="Book Antiqua" w:hAnsi="Book Antiqua"/>
        </w:rPr>
        <w:t>ych</w:t>
      </w:r>
    </w:p>
    <w:p w14:paraId="63B13528" w14:textId="1DEEA813" w:rsid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30201B">
        <w:rPr>
          <w:rFonts w:ascii="Book Antiqua" w:hAnsi="Book Antiqua" w:cs="Book Antiqua"/>
          <w:b/>
          <w:bCs/>
          <w:sz w:val="21"/>
          <w:szCs w:val="21"/>
        </w:rPr>
        <w:t>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67B29CEB" w14:textId="443B8C46" w:rsidR="0030201B" w:rsidRDefault="0030201B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82B1DA1" w14:textId="071BD0B2" w:rsidR="0030201B" w:rsidRPr="00872BE6" w:rsidRDefault="0030201B" w:rsidP="0030201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 xml:space="preserve">Część </w:t>
      </w:r>
      <w:r>
        <w:rPr>
          <w:rFonts w:ascii="Book Antiqua" w:hAnsi="Book Antiqua" w:cs="Book Antiqua"/>
          <w:i/>
          <w:u w:val="single"/>
        </w:rPr>
        <w:t>2</w:t>
      </w:r>
    </w:p>
    <w:p w14:paraId="591CA7BE" w14:textId="77777777" w:rsidR="0030201B" w:rsidRPr="00872BE6" w:rsidRDefault="0030201B" w:rsidP="0030201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B5C0056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385B4B0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B71AEC9" w14:textId="77777777" w:rsidR="0030201B" w:rsidRPr="003441C5" w:rsidRDefault="0030201B" w:rsidP="0030201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34B2F9B" w14:textId="77777777" w:rsidR="0030201B" w:rsidRPr="003441C5" w:rsidRDefault="0030201B" w:rsidP="0030201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66E3E4D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5E58E683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139027ED" w14:textId="77777777" w:rsidR="0030201B" w:rsidRPr="00872BE6" w:rsidRDefault="0030201B" w:rsidP="0030201B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1C587E00" w14:textId="77777777" w:rsidR="0030201B" w:rsidRPr="00872BE6" w:rsidRDefault="0030201B" w:rsidP="0030201B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09E683BF" w14:textId="77777777" w:rsidR="0030201B" w:rsidRPr="00677C77" w:rsidRDefault="0030201B" w:rsidP="0030201B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>
        <w:rPr>
          <w:rFonts w:ascii="Book Antiqua" w:hAnsi="Book Antiqua"/>
        </w:rPr>
        <w:t>roboczych</w:t>
      </w:r>
    </w:p>
    <w:p w14:paraId="6B58DD46" w14:textId="2058148E" w:rsidR="0030201B" w:rsidRDefault="0030201B" w:rsidP="0030201B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6E19415D" w14:textId="77777777" w:rsidR="0030201B" w:rsidRDefault="0030201B" w:rsidP="0030201B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4B2DAAAF" w14:textId="1E820131" w:rsidR="0030201B" w:rsidRPr="00872BE6" w:rsidRDefault="0030201B" w:rsidP="0030201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 xml:space="preserve">Część </w:t>
      </w:r>
      <w:r>
        <w:rPr>
          <w:rFonts w:ascii="Book Antiqua" w:hAnsi="Book Antiqua" w:cs="Book Antiqua"/>
          <w:i/>
          <w:u w:val="single"/>
        </w:rPr>
        <w:t>3</w:t>
      </w:r>
    </w:p>
    <w:p w14:paraId="31F9D6EA" w14:textId="77777777" w:rsidR="0030201B" w:rsidRPr="00872BE6" w:rsidRDefault="0030201B" w:rsidP="0030201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58B69298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F22A4E9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F1D7ABA" w14:textId="77777777" w:rsidR="0030201B" w:rsidRPr="003441C5" w:rsidRDefault="0030201B" w:rsidP="0030201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48FA039E" w14:textId="77777777" w:rsidR="0030201B" w:rsidRPr="003441C5" w:rsidRDefault="0030201B" w:rsidP="0030201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3A699A44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05002B1" w14:textId="77777777" w:rsidR="0030201B" w:rsidRPr="003441C5" w:rsidRDefault="0030201B" w:rsidP="0030201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1883E791" w14:textId="77777777" w:rsidR="0030201B" w:rsidRPr="00872BE6" w:rsidRDefault="0030201B" w:rsidP="0030201B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1757600D" w14:textId="77777777" w:rsidR="0030201B" w:rsidRPr="00872BE6" w:rsidRDefault="0030201B" w:rsidP="0030201B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0E0C8150" w14:textId="77777777" w:rsidR="0030201B" w:rsidRPr="00677C77" w:rsidRDefault="0030201B" w:rsidP="0030201B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>
        <w:rPr>
          <w:rFonts w:ascii="Book Antiqua" w:hAnsi="Book Antiqua"/>
        </w:rPr>
        <w:t>roboczych</w:t>
      </w:r>
    </w:p>
    <w:p w14:paraId="10C994A4" w14:textId="77777777" w:rsidR="0030201B" w:rsidRDefault="0030201B" w:rsidP="0030201B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B813DC2" w14:textId="77777777" w:rsidR="0030201B" w:rsidRDefault="0030201B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77777777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4F963BF2" w14:textId="52A6DC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16F4E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295E17B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16F4E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lastRenderedPageBreak/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6A811100" w14:textId="747613A6" w:rsidR="00E16F4E" w:rsidRDefault="00E16F4E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5FFE620F" w:rsidR="00E16F4E" w:rsidRDefault="00E16F4E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14:paraId="66A99924" w14:textId="1B4C4DFB" w:rsidR="00E16F4E" w:rsidRDefault="00E16F4E" w:rsidP="00E16F4E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/>
          <w:sz w:val="20"/>
          <w:szCs w:val="20"/>
        </w:rPr>
        <w:t>3</w:t>
      </w:r>
    </w:p>
    <w:p w14:paraId="49144BFF" w14:textId="77777777" w:rsidR="00DC4AC5" w:rsidRDefault="00DC4AC5" w:rsidP="00DC4AC5">
      <w:pPr>
        <w:spacing w:line="360" w:lineRule="auto"/>
        <w:jc w:val="center"/>
        <w:rPr>
          <w:rFonts w:ascii="Book Antiqua" w:hAnsi="Book Antiqua"/>
          <w:b/>
          <w:bCs/>
          <w:iCs/>
        </w:rPr>
      </w:pPr>
    </w:p>
    <w:p w14:paraId="59585FB0" w14:textId="1AA1B7C9" w:rsidR="00DC4AC5" w:rsidRPr="00DC4AC5" w:rsidRDefault="00DC4AC5" w:rsidP="00DC4AC5">
      <w:pPr>
        <w:spacing w:line="360" w:lineRule="auto"/>
        <w:jc w:val="center"/>
        <w:rPr>
          <w:rFonts w:ascii="Book Antiqua" w:hAnsi="Book Antiqua"/>
          <w:b/>
          <w:bCs/>
          <w:iCs/>
        </w:rPr>
      </w:pPr>
      <w:r w:rsidRPr="00DC4AC5">
        <w:rPr>
          <w:rFonts w:ascii="Book Antiqua" w:hAnsi="Book Antiqua"/>
          <w:b/>
          <w:bCs/>
          <w:iCs/>
        </w:rPr>
        <w:t>RYSUNEK TECHNICZNY MISECZKI PLATYNOWEJ 99,95%</w:t>
      </w:r>
    </w:p>
    <w:p w14:paraId="6D5731AA" w14:textId="01EBB920" w:rsidR="00346B15" w:rsidRDefault="00FF0BEB" w:rsidP="00346B15">
      <w:pPr>
        <w:ind w:left="-142"/>
        <w:rPr>
          <w:rFonts w:ascii="Century Gothic" w:hAnsi="Century Gothic" w:cs="Arial"/>
          <w:i/>
          <w:sz w:val="22"/>
          <w:szCs w:val="20"/>
        </w:rPr>
      </w:pPr>
      <w:r>
        <w:rPr>
          <w:noProof/>
        </w:rPr>
        <w:drawing>
          <wp:inline distT="0" distB="0" distL="0" distR="0" wp14:anchorId="4B29AE8E" wp14:editId="5A0B96BD">
            <wp:extent cx="4667250" cy="3798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573" t="28415" r="42461" b="25338"/>
                    <a:stretch/>
                  </pic:blipFill>
                  <pic:spPr bwMode="auto">
                    <a:xfrm>
                      <a:off x="0" y="0"/>
                      <a:ext cx="4680199" cy="380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6B15" w:rsidSect="004705E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40E2" w14:textId="77777777" w:rsidR="00065B6E" w:rsidRDefault="00065B6E" w:rsidP="00883F61">
      <w:r>
        <w:separator/>
      </w:r>
    </w:p>
  </w:endnote>
  <w:endnote w:type="continuationSeparator" w:id="0">
    <w:p w14:paraId="2559246C" w14:textId="77777777" w:rsidR="00065B6E" w:rsidRDefault="00065B6E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7777777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D5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0278" w14:textId="77777777" w:rsidR="00065B6E" w:rsidRDefault="00065B6E" w:rsidP="00883F61">
      <w:r>
        <w:separator/>
      </w:r>
    </w:p>
  </w:footnote>
  <w:footnote w:type="continuationSeparator" w:id="0">
    <w:p w14:paraId="53E6E9B2" w14:textId="77777777" w:rsidR="00065B6E" w:rsidRDefault="00065B6E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8814" w14:textId="3C535CCD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925E79">
      <w:rPr>
        <w:rFonts w:asciiTheme="minorHAnsi" w:hAnsiTheme="minorHAnsi"/>
        <w:sz w:val="18"/>
        <w:szCs w:val="16"/>
      </w:rPr>
      <w:t>8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5B6E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BEB"/>
    <w:rsid w:val="00150B15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441C5"/>
    <w:rsid w:val="00346183"/>
    <w:rsid w:val="00346B00"/>
    <w:rsid w:val="00346B15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2721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83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D0E59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111F"/>
    <w:rsid w:val="00CB279E"/>
    <w:rsid w:val="00CC7F73"/>
    <w:rsid w:val="00CD0B12"/>
    <w:rsid w:val="00CD3C89"/>
    <w:rsid w:val="00CD574F"/>
    <w:rsid w:val="00CD63DC"/>
    <w:rsid w:val="00CD7EEE"/>
    <w:rsid w:val="00CE005B"/>
    <w:rsid w:val="00CE19EE"/>
    <w:rsid w:val="00CE1F38"/>
    <w:rsid w:val="00CE65EC"/>
    <w:rsid w:val="00D01C13"/>
    <w:rsid w:val="00D05295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C4AC5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6995"/>
    <w:rsid w:val="00FF0BEB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4DE9-F43D-4585-9320-E398AC5D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2575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9</cp:revision>
  <cp:lastPrinted>2020-03-09T11:23:00Z</cp:lastPrinted>
  <dcterms:created xsi:type="dcterms:W3CDTF">2020-03-30T10:24:00Z</dcterms:created>
  <dcterms:modified xsi:type="dcterms:W3CDTF">2020-03-31T10:29:00Z</dcterms:modified>
</cp:coreProperties>
</file>