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142771" w:rsidRDefault="00142771" w:rsidP="00142771"/>
    <w:p w:rsidR="00142771" w:rsidRPr="00142771" w:rsidRDefault="00142771" w:rsidP="00142771"/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Pr="00F02961" w:rsidRDefault="00CE4D4A" w:rsidP="0014559E">
      <w:pPr>
        <w:pStyle w:val="Nagwek6"/>
        <w:rPr>
          <w:sz w:val="28"/>
          <w:szCs w:val="28"/>
        </w:rPr>
      </w:pPr>
      <w:r w:rsidRPr="00F02961">
        <w:rPr>
          <w:sz w:val="28"/>
          <w:szCs w:val="28"/>
        </w:rPr>
        <w:t xml:space="preserve">Stacjonarny </w:t>
      </w:r>
      <w:r w:rsidR="00142771" w:rsidRPr="00F02961">
        <w:rPr>
          <w:sz w:val="28"/>
          <w:szCs w:val="28"/>
        </w:rPr>
        <w:t xml:space="preserve"> </w:t>
      </w:r>
      <w:r w:rsidRPr="00F02961">
        <w:rPr>
          <w:sz w:val="28"/>
          <w:szCs w:val="28"/>
        </w:rPr>
        <w:t xml:space="preserve">angiograf </w:t>
      </w:r>
      <w:r w:rsidR="00142771" w:rsidRPr="00F02961">
        <w:rPr>
          <w:sz w:val="28"/>
          <w:szCs w:val="28"/>
        </w:rPr>
        <w:t xml:space="preserve"> </w:t>
      </w:r>
      <w:r w:rsidRPr="00F02961">
        <w:rPr>
          <w:sz w:val="28"/>
          <w:szCs w:val="28"/>
        </w:rPr>
        <w:t>cyfrowy</w:t>
      </w:r>
      <w:r w:rsidR="00142771" w:rsidRPr="00F02961">
        <w:rPr>
          <w:sz w:val="28"/>
          <w:szCs w:val="28"/>
        </w:rPr>
        <w:t xml:space="preserve"> </w:t>
      </w:r>
      <w:r w:rsidR="00EF55C2" w:rsidRPr="00F02961">
        <w:rPr>
          <w:sz w:val="28"/>
          <w:szCs w:val="28"/>
        </w:rPr>
        <w:t xml:space="preserve"> </w:t>
      </w:r>
      <w:r w:rsidR="00142771" w:rsidRPr="00F02961">
        <w:rPr>
          <w:sz w:val="28"/>
          <w:szCs w:val="28"/>
        </w:rPr>
        <w:t>-</w:t>
      </w:r>
      <w:r w:rsidRPr="00F02961">
        <w:rPr>
          <w:sz w:val="28"/>
          <w:szCs w:val="28"/>
        </w:rPr>
        <w:t xml:space="preserve"> </w:t>
      </w:r>
      <w:r w:rsidR="00142771" w:rsidRPr="00F02961">
        <w:rPr>
          <w:sz w:val="28"/>
          <w:szCs w:val="28"/>
        </w:rPr>
        <w:t xml:space="preserve"> </w:t>
      </w:r>
      <w:r w:rsidRPr="00F02961">
        <w:rPr>
          <w:sz w:val="28"/>
          <w:szCs w:val="28"/>
        </w:rPr>
        <w:t>1</w:t>
      </w:r>
      <w:r w:rsidR="00B90C14" w:rsidRPr="00F02961">
        <w:rPr>
          <w:sz w:val="28"/>
          <w:szCs w:val="28"/>
        </w:rPr>
        <w:t xml:space="preserve"> </w:t>
      </w:r>
      <w:r w:rsidR="009A2DAF" w:rsidRPr="00F02961">
        <w:rPr>
          <w:sz w:val="28"/>
          <w:szCs w:val="28"/>
        </w:rPr>
        <w:t>szt.</w:t>
      </w:r>
    </w:p>
    <w:p w:rsidR="00142771" w:rsidRPr="00142771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142771" w:rsidRDefault="00142771">
      <w:pPr>
        <w:rPr>
          <w:rFonts w:ascii="Arial" w:hAnsi="Arial" w:cs="Arial"/>
          <w:b/>
          <w:bCs/>
          <w:sz w:val="20"/>
          <w:szCs w:val="20"/>
        </w:rPr>
      </w:pPr>
    </w:p>
    <w:p w:rsidR="00142771" w:rsidRDefault="00142771" w:rsidP="001427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142771" w:rsidRDefault="00142771" w:rsidP="00142771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64"/>
        <w:gridCol w:w="1080"/>
        <w:gridCol w:w="1440"/>
        <w:gridCol w:w="2880"/>
      </w:tblGrid>
      <w:tr w:rsidR="00142771" w:rsidTr="0014277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sz w:val="20"/>
                <w:szCs w:val="20"/>
              </w:rPr>
            </w:pPr>
          </w:p>
        </w:tc>
      </w:tr>
      <w:tr w:rsidR="00142771" w:rsidTr="00142771">
        <w:trPr>
          <w:trHeight w:val="210"/>
        </w:trPr>
        <w:tc>
          <w:tcPr>
            <w:tcW w:w="611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sz w:val="20"/>
                <w:szCs w:val="20"/>
              </w:rPr>
            </w:pPr>
          </w:p>
        </w:tc>
      </w:tr>
      <w:tr w:rsidR="00142771" w:rsidTr="00142771">
        <w:trPr>
          <w:trHeight w:val="225"/>
        </w:trPr>
        <w:tc>
          <w:tcPr>
            <w:tcW w:w="611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2771" w:rsidRDefault="0014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771" w:rsidRDefault="00142771">
            <w:pPr>
              <w:rPr>
                <w:sz w:val="20"/>
                <w:szCs w:val="20"/>
              </w:rPr>
            </w:pPr>
          </w:p>
        </w:tc>
      </w:tr>
      <w:tr w:rsidR="00142771" w:rsidTr="00142771">
        <w:trPr>
          <w:trHeight w:val="210"/>
        </w:trPr>
        <w:tc>
          <w:tcPr>
            <w:tcW w:w="611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771" w:rsidRDefault="001427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2024.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Urządzenie/a fabrycznie nowe.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1" w:rsidRDefault="0014277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Rok produkcji</w:t>
            </w:r>
            <w:r w:rsidRPr="00645886">
              <w:rPr>
                <w:rFonts w:ascii="Arial" w:hAnsi="Arial" w:cs="Arial"/>
                <w:color w:val="000000"/>
                <w:sz w:val="14"/>
                <w:szCs w:val="14"/>
              </w:rPr>
              <w:t>:  …………………………….</w:t>
            </w:r>
          </w:p>
          <w:p w:rsidR="00142771" w:rsidRDefault="0014277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42771" w:rsidRDefault="0014277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DF531C">
              <w:rPr>
                <w:sz w:val="20"/>
                <w:szCs w:val="20"/>
              </w:rPr>
              <w:t>…………………</w:t>
            </w: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sz w:val="20"/>
                <w:szCs w:val="20"/>
              </w:rPr>
            </w:pPr>
          </w:p>
        </w:tc>
      </w:tr>
      <w:tr w:rsidR="00142771" w:rsidTr="00142771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1" w:rsidRDefault="00142771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142771" w:rsidRDefault="0014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2771" w:rsidTr="00142771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71" w:rsidRDefault="00142771">
            <w:pPr>
              <w:rPr>
                <w:sz w:val="20"/>
                <w:szCs w:val="20"/>
              </w:rPr>
            </w:pPr>
          </w:p>
        </w:tc>
      </w:tr>
      <w:tr w:rsidR="00142771" w:rsidTr="00142771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2771" w:rsidRDefault="00142771" w:rsidP="00142771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Warunki gwarancji i serwisu wymagane przez użytkownika.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2"/>
        <w:gridCol w:w="3233"/>
        <w:gridCol w:w="1376"/>
        <w:gridCol w:w="893"/>
        <w:gridCol w:w="3261"/>
      </w:tblGrid>
      <w:tr w:rsidR="00142771" w:rsidTr="00142771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42771" w:rsidRDefault="001427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42771" w:rsidRDefault="001427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42771" w:rsidRDefault="001427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142771" w:rsidRDefault="0014277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142771" w:rsidRDefault="001427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142771" w:rsidTr="00142771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42771" w:rsidRDefault="001427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2771" w:rsidRDefault="00142771" w:rsidP="0014277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e-mail. 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pStyle w:val="Tekstkomentarza"/>
            </w:pPr>
            <w:r>
              <w:t> </w:t>
            </w:r>
          </w:p>
        </w:tc>
      </w:tr>
      <w:tr w:rsidR="00142771" w:rsidTr="00142771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2771" w:rsidRDefault="001427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urządzenia w zakresie i z częstością zalecaną przez producenta w czasie trwania gwarancji.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:rsidR="00142771" w:rsidRDefault="0014277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2771" w:rsidRDefault="001427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C24571">
              <w:rPr>
                <w:rFonts w:ascii="Arial" w:hAnsi="Arial" w:cs="Arial"/>
                <w:sz w:val="16"/>
                <w:szCs w:val="16"/>
              </w:rPr>
              <w:t>……</w:t>
            </w:r>
            <w:r w:rsidR="00C24571" w:rsidRPr="00C24571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m-cy/ce.</w:t>
            </w:r>
          </w:p>
          <w:p w:rsidR="00142771" w:rsidRDefault="001427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 okresie wykonawca zapewnia przeglądy techniczne urządzenia w zakresie i z częstością zalecaną przez producenta</w:t>
            </w:r>
          </w:p>
        </w:tc>
      </w:tr>
      <w:tr w:rsidR="00142771" w:rsidTr="00142771">
        <w:trPr>
          <w:cantSplit/>
          <w:trHeight w:val="45"/>
        </w:trPr>
        <w:tc>
          <w:tcPr>
            <w:tcW w:w="611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noWrap/>
            <w:vAlign w:val="bottom"/>
          </w:tcPr>
          <w:p w:rsidR="00142771" w:rsidRDefault="001427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noWrap/>
            <w:vAlign w:val="bottom"/>
            <w:hideMark/>
          </w:tcPr>
          <w:p w:rsidR="00142771" w:rsidRDefault="0014277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142771" w:rsidRDefault="00142771">
      <w:pPr>
        <w:rPr>
          <w:rFonts w:ascii="Arial" w:hAnsi="Arial" w:cs="Arial"/>
          <w:b/>
          <w:bCs/>
          <w:sz w:val="20"/>
          <w:szCs w:val="20"/>
        </w:rPr>
      </w:pPr>
    </w:p>
    <w:p w:rsidR="00142771" w:rsidRDefault="00142771">
      <w:pPr>
        <w:rPr>
          <w:rFonts w:ascii="Arial" w:hAnsi="Arial" w:cs="Arial"/>
          <w:b/>
          <w:bCs/>
          <w:sz w:val="20"/>
          <w:szCs w:val="20"/>
        </w:rPr>
      </w:pPr>
    </w:p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4111"/>
        <w:gridCol w:w="1276"/>
        <w:gridCol w:w="3260"/>
      </w:tblGrid>
      <w:tr w:rsidR="008451B7" w:rsidRPr="008669C6" w:rsidTr="00F02961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451B7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sz w:val="20"/>
                <w:szCs w:val="20"/>
              </w:rPr>
              <w:t>Statyw z ramieniem 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Mocowanie statywu do sufitu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B95" w:rsidRPr="008669C6" w:rsidRDefault="00174B95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Zakres silnikowego ruchu statywu w kierunku wzdłuż stołu pacjenta min. 260 cm.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Szybkość ruchu statywu w kierunku wzdłuż stołu pacjenta min. 15 cm/s. 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Silnikowe ustawianie statywu w pozycji parkingowej – odjazd statywu do pozycji umożliwiającej dostęp do pacjenta na stole ze wszystkich stron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Zakres silnikowego obrotu statywu wokół osi pionowej min. ±90°.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Funkcja utrzymania projekcji ramienia C w trakcie obrotu statywu wokół osi pionowej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Obrazowanie w położeniach statywu za głową pacjenta i z obu boków pacjenta (tj. wzdłużnym i prostopadłych do stołu pacjenta)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Obrazowanie w położeniach statywu skośnych do stołu (tj. po obrocie statywu wokół osi pionowej o kąt różny niż 0° i ±90° względem stołu pacjenta) – z zachowaniem anatomicznego sposobu prezentacji obrazu na monitorach, bez obrotu obrazu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Głębokość ramienia C (długość wewnętrznego promienia ramienia C – odległość między izocentrum a wewnętrzną krawędzią ramienia C) min. 90 cm.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Zakres dostępnych projekcji ramienia C w kierunku LAO/RAO w pozycji statywu za głową pacjenta min. 240°.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Zakres dostępnych projekcji ramienia C w kierunku CRAN/CAUD w pozycji statywu za głową pacjenta min. 90°.  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Maks. szybkość ramienia C w kierunku LAO/RAO w pozycji statywu za głową pacjenta z wyłączeniem angiografii rotacyjnej/obrazowania 3D min. 25°/s.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Maks. szybkość ramienia C w kierunku CRAN/CAUD w pozycji statywu za głową pacjenta z wyłączeniem angiografii rotacyjnej/obrazowania 3D min. 25°/s.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Maks. szybkość ramienia C w trakcie angiografii rotacyjnej/obrazowania 3D w pozycji statywu za głową pacjenta min. 55°/s.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Sterowanie ruchami statywu z pulpitu w sali badań; pulpit zabezpieczony przed rozbryzgami cieczy.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Programowanie i przywoływanie pozycji ramienia C z pulpitu przy stole pacjenta (min. 30 pozycji).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Automatyczne ustawianie statywu w pozycji odpowiadającej wybranemu obrazowi referencyjnemu.</w:t>
            </w:r>
          </w:p>
        </w:tc>
        <w:tc>
          <w:tcPr>
            <w:tcW w:w="1276" w:type="dxa"/>
          </w:tcPr>
          <w:p w:rsidR="00174B95" w:rsidRDefault="00174B95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System zabezpieczenia przed kolizją.</w:t>
            </w:r>
          </w:p>
        </w:tc>
        <w:tc>
          <w:tcPr>
            <w:tcW w:w="1276" w:type="dxa"/>
          </w:tcPr>
          <w:p w:rsidR="00174B95" w:rsidRDefault="00174B95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74B95" w:rsidRPr="00F02961" w:rsidRDefault="00174B9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Wyświetlanie danych systemowych w sali badań (min. angulacja ramienia C, FOV, informacja o dawce i statusie cieplnym lampy RTG).</w:t>
            </w:r>
          </w:p>
        </w:tc>
        <w:tc>
          <w:tcPr>
            <w:tcW w:w="1276" w:type="dxa"/>
          </w:tcPr>
          <w:p w:rsidR="00174B95" w:rsidRDefault="00174B95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B95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74B95" w:rsidRPr="00636C71" w:rsidRDefault="00174B9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174B95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Stół pacjenta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74B95" w:rsidRDefault="00174B95" w:rsidP="00B90C14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74B95" w:rsidRPr="008669C6" w:rsidRDefault="00174B9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Stół stacjonarny, mocowany na stałe do podłogi z pływającym blatem.</w:t>
            </w:r>
          </w:p>
        </w:tc>
        <w:tc>
          <w:tcPr>
            <w:tcW w:w="1276" w:type="dxa"/>
          </w:tcPr>
          <w:p w:rsidR="00CE73F1" w:rsidRDefault="00CE73F1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Szyny z min. 3 stron stołu, umożliwiające mocowanie akcesoriów.</w:t>
            </w:r>
          </w:p>
        </w:tc>
        <w:tc>
          <w:tcPr>
            <w:tcW w:w="1276" w:type="dxa"/>
          </w:tcPr>
          <w:p w:rsidR="00CE73F1" w:rsidRDefault="00CE73F1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Blat z włókna węglowego z wycięciem profilowym na głowę pacjenta przeznaczony do zabiegów wewnątrznaczyniowych w obszarze serca wraz z dopasowanym do niego kształtem i wielkością materacem w pokrowcu zabezpieczającym materac przed działaniem środków dezynfekcyjnych.</w:t>
            </w:r>
          </w:p>
        </w:tc>
        <w:tc>
          <w:tcPr>
            <w:tcW w:w="1276" w:type="dxa"/>
          </w:tcPr>
          <w:p w:rsidR="00CE73F1" w:rsidRDefault="00CE73F1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Całkowita długość blatu stołu min. 260 cm.</w:t>
            </w:r>
          </w:p>
        </w:tc>
        <w:tc>
          <w:tcPr>
            <w:tcW w:w="1276" w:type="dxa"/>
          </w:tcPr>
          <w:p w:rsidR="00CE73F1" w:rsidRDefault="00CE73F1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Długość części blatu przeziernej dla promieniowania X w zakresie 360° po zainstalowaniu na kolumnie stołu – wysięg blatu stołu bez zawartości metalu (z wyłączeniem szyn akcesoryjnych) min. 125 cm.</w:t>
            </w:r>
          </w:p>
        </w:tc>
        <w:tc>
          <w:tcPr>
            <w:tcW w:w="1276" w:type="dxa"/>
          </w:tcPr>
          <w:p w:rsidR="00CE73F1" w:rsidRDefault="00CE73F1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Zakres przesuwu wzdłużnego blatu min. 120 cm.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Zakres przesuwu poprzecznego blatu min. 28 cm.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Zakres silnikowej regulacji wysokości stołu min. 28 cm.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Szybkość silnikowej regulacji wysokości stołu min. 3 cm/s.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Zakres obrotu stołu wokół osi pionowej min. ±90°.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Maksymalne obciążenie stołu (dopuszczalna waga pacjenta z uwzględnieniem rezerwy na resuscytację i akcesoria) Min. 325 kg.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Sterowanie ruchami stołu z pulpitu przy stole pacjenta (pulpit zabezpieczony przed rozbryzgami wody).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E73F1" w:rsidRPr="00F02961" w:rsidRDefault="00CE73F1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Akcesoria min.: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klipsy porządkujące kable E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KG i mocujące je do blatu stołu,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statyw na płyny infuzyjne przeznaczony do montażu na szynach akcesoryjnych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- podkładka </w:t>
            </w:r>
            <w:r w:rsidR="000E602F">
              <w:rPr>
                <w:rFonts w:asciiTheme="minorHAnsi" w:hAnsiTheme="minorHAnsi" w:cstheme="minorHAnsi"/>
                <w:bCs/>
                <w:sz w:val="20"/>
                <w:szCs w:val="20"/>
              </w:rPr>
              <w:t>pod ramię przy iniekcji – prawo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lewostronna, z materacem, wsuwana pod pacjenta,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-podkładki umieszczane wzdłuż tułowia pacjenta, utrzymujące jego ręce w komfortowej pozycji w trakcie długotrwałych zabiegów;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podkładka pod g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łowę pacjenta w kształcie klina,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- zestaw do zabiegów z dostępu promieniowego, składający się ze wsuwanej pod materac i stabilizowanej pod ciężarem pacjenta, przeziernej dla promieniowania, wyprofilowanej podkładki z </w:t>
            </w:r>
            <w:r w:rsidR="000E602F">
              <w:rPr>
                <w:rFonts w:asciiTheme="minorHAnsi" w:hAnsiTheme="minorHAnsi" w:cstheme="minorHAnsi"/>
                <w:bCs/>
                <w:sz w:val="20"/>
                <w:szCs w:val="20"/>
              </w:rPr>
              <w:t>uchwytem na rękę, umożliwiającej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rotowanie oraz zginanie przedramienia pacjenta w sposób pożądany przez operatora, oraz przeziernej dla promieniowania regulowanej podpórki pod ramię pacjenta, pozwalającej na przygięcie przedramienia i p</w:t>
            </w:r>
            <w:r w:rsidR="00E2309C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ołożenie go na brzuchu pacjenta,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podręczny sto</w:t>
            </w:r>
            <w:r w:rsidR="000E602F">
              <w:rPr>
                <w:rFonts w:asciiTheme="minorHAnsi" w:hAnsiTheme="minorHAnsi" w:cstheme="minorHAnsi"/>
                <w:bCs/>
                <w:sz w:val="20"/>
                <w:szCs w:val="20"/>
              </w:rPr>
              <w:t>lik zabiegowy na cewniki,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itp., osłaniający operatora przed promieniowaniem na wysokości bioder.</w:t>
            </w:r>
          </w:p>
        </w:tc>
        <w:tc>
          <w:tcPr>
            <w:tcW w:w="1276" w:type="dxa"/>
          </w:tcPr>
          <w:p w:rsidR="00CE73F1" w:rsidRDefault="00CE73F1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73F1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E73F1" w:rsidRPr="00636C71" w:rsidRDefault="00CE73F1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CE73F1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Generator wysokiego napięcia, system kontroli ekspozycji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E73F1" w:rsidRDefault="00CE73F1" w:rsidP="0066300A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CE73F1" w:rsidRPr="008669C6" w:rsidRDefault="00CE73F1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Moc nominalna generatora min. 100 kW.</w:t>
            </w:r>
          </w:p>
        </w:tc>
        <w:tc>
          <w:tcPr>
            <w:tcW w:w="1276" w:type="dxa"/>
          </w:tcPr>
          <w:p w:rsidR="00E2309C" w:rsidRDefault="00E2309C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dobór i ustawianie parametrów ekspozycji do grubości/gęstości pacjenta, uwzględniający zmiany angulacji ramienia C, SID i kolimacji (min. kV, mA, ms).</w:t>
            </w:r>
          </w:p>
        </w:tc>
        <w:tc>
          <w:tcPr>
            <w:tcW w:w="1276" w:type="dxa"/>
          </w:tcPr>
          <w:p w:rsidR="00E2309C" w:rsidRDefault="00E2309C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Wybór programów akwizycji zdjęciowej i fluoroskopii przy stole pacjenta oraz w sterowni.</w:t>
            </w:r>
          </w:p>
        </w:tc>
        <w:tc>
          <w:tcPr>
            <w:tcW w:w="1276" w:type="dxa"/>
          </w:tcPr>
          <w:p w:rsidR="00E2309C" w:rsidRDefault="00E2309C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Zabezpieczenie przed przypadkowym wyzwoleniem promieniowania dostępne dla użytkownika – w sali badań i w sterowni.</w:t>
            </w:r>
          </w:p>
        </w:tc>
        <w:tc>
          <w:tcPr>
            <w:tcW w:w="1276" w:type="dxa"/>
          </w:tcPr>
          <w:p w:rsidR="00E2309C" w:rsidRDefault="00E2309C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Funkcja automatycznego przełączania ogniska lampy RTG umożliwiająca awaryjne dokończenie zabiegu w razie awarii jednego z tych ognisk.</w:t>
            </w:r>
          </w:p>
        </w:tc>
        <w:tc>
          <w:tcPr>
            <w:tcW w:w="1276" w:type="dxa"/>
          </w:tcPr>
          <w:p w:rsidR="00E2309C" w:rsidRDefault="00E2309C" w:rsidP="0066300A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Bezprzewodowy włącznik nożny wyzwalania promieniowania (fluoroskopia, akwizycja zdjęciowa) w sali badań zabezpieczony przed rozbryzgami wody.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Włącznik promieniowania (min. akwizycja zdjęciowa) w sterowni.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Lampa RTG, kolimator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2309C" w:rsidRDefault="00E2309C" w:rsidP="00B90C14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Lampa min. 2-ogniskowa.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Rozmiar małego ogniska maks. 0,5 mm, podać zgodnie z PN-EN/IEC 60336.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Rozmiar dużego ogniska maks. 1,0 mm, podać zgodnie z PN-EN/IEC 60336.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Maksymalna obciążalność małego ogniska min. 15 kW.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Maksymalna obciążalność ogniska dużego min. 30 kW.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Mechanizm redukcji promieniowania resztkowego przy przełączaniu impulsów – sterowanie siatką.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Maksymalny prąd lampy przy fluoroskopii pulsacyjnej z wykorzystaniem małego ogniska i aktywnym mechanizmie redukcji promieniowania resztkowego min. 200 mA. 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Pojemność cieplna anody min. 3300 kHU.</w:t>
            </w:r>
          </w:p>
        </w:tc>
        <w:tc>
          <w:tcPr>
            <w:tcW w:w="1276" w:type="dxa"/>
          </w:tcPr>
          <w:p w:rsidR="00E2309C" w:rsidRPr="00D36C51" w:rsidRDefault="00E2309C" w:rsidP="00B90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Pojemność cieplna kołpaka Min. 4500 kHU.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Przysłony prostokątne.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Min. 1 filtry półprzepuszczalny (klinowy) z możliwością obrotu.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Sterowanie kolimatorem z pulpitu przy stole pacjenta  (pulpit zabezpieczony przed rozbryzgami wody).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Dodatkowa (poza wewnętrzną filtracją lampy) maksymalna filtracja miedziowa w kolimatorze min. 0,9 mm.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Liczba stopni dodatkowej (poza wewnętrzną filtracją lampy) filtracji miedziowej w kolimatorze min. 3 stopnie.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dobór (z uwzględnieniem zmiennej grubości pacjenta przy różnych angulacjach) oraz samoczynne wsuwanie (silnikowe, bez ingerencji obsługi) dodatkowej (poza wewnętrzną filtracją lampy) filtracji miedziowej w celu redukcji dawki i poprawy jakości obrazu – przy fluoroskopii i przy akwizycji zdjęciowej.</w:t>
            </w:r>
          </w:p>
        </w:tc>
        <w:tc>
          <w:tcPr>
            <w:tcW w:w="1276" w:type="dxa"/>
          </w:tcPr>
          <w:p w:rsidR="00E2309C" w:rsidRDefault="00E2309C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Sygnalizator akustyczny i optyczny zbliżania się do temperatury przegrzania lampy.</w:t>
            </w:r>
          </w:p>
        </w:tc>
        <w:tc>
          <w:tcPr>
            <w:tcW w:w="1276" w:type="dxa"/>
          </w:tcPr>
          <w:p w:rsidR="00E2309C" w:rsidRDefault="00E2309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Monitorowanie dawki promieniowania na wyjściu z lampy przy fluoroskopii i ekspozycji zdjęciowej oraz dawki całkowitej, wyświetlanie dawki (lub iloczynu dawki i pola powierzchni) w sali badań oraz w sterowni; możliwość wydruku informacji o dawce na pacjenta na drukarce sieciowej.</w:t>
            </w:r>
          </w:p>
        </w:tc>
        <w:tc>
          <w:tcPr>
            <w:tcW w:w="1276" w:type="dxa"/>
          </w:tcPr>
          <w:p w:rsidR="00E2309C" w:rsidRDefault="00E2309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2309C" w:rsidRPr="00F02961" w:rsidRDefault="00E2309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Zapis raportów o dawce w formacie DICOM.</w:t>
            </w:r>
          </w:p>
        </w:tc>
        <w:tc>
          <w:tcPr>
            <w:tcW w:w="1276" w:type="dxa"/>
          </w:tcPr>
          <w:p w:rsidR="00E2309C" w:rsidRDefault="00E2309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309C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2309C" w:rsidRPr="00636C71" w:rsidRDefault="00E2309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E2309C" w:rsidRPr="00F02961" w:rsidRDefault="00EE5963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Detektor obrazu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2309C" w:rsidRDefault="00E2309C" w:rsidP="00E2309C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E2309C" w:rsidRPr="008669C6" w:rsidRDefault="00E2309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Płaski detektor cyfrowy do zabiegów kardiologicznych o przekątnej pola widzenia z zakresu 25-30 cm.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Rozdzielczość nominalnego pola widzenia min. 1024 × 1024.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Liczba pól widzenia detektora (FOV) min. 4.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Głębia bitowa detektora min. 14 bit.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Rozdzielczość przestrzenna detektora (częstotliwość Nyquista) min. 2,70 lp/mm.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Typowa detekcyjna wydajność kwantowa detektora (DQE) przy 0 lp/mm min. 70%.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Silnikowy przesuw detektora – zmiana odległości źródło-obraz min. 30 cm.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Wyjmowana kratka przeciwrozproszeniowa.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Monitory, obsługa sygnałów wizyjnych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83135" w:rsidRDefault="00D83135" w:rsidP="00E2309C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D8313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Wielkoformatowy monitor LCD o przekątnej min. 55” i rozdzielczości min. 8,2 mln pikseli wraz z zawieszeniem sufitowym w sali badań, umożliwiającym przesuwanie, obrót i zmianę wysokości monitora.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3135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83135" w:rsidRPr="00636C71" w:rsidRDefault="00D8313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83135" w:rsidRPr="00F02961" w:rsidRDefault="00E40E70" w:rsidP="00F02961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Sterownik zapewniający obsługę monitora zaoferowanego monitora 55” w tym podłączenie min. 16 i jednoczasową prezentację co najmniej 8 sygnałów wizyjnych w tym: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obrazu live (w trybach DSA i roadmap: jednoczasowo z subtrakcją i bez),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obrazu referencyjnego,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obrazu ze stacji roboczej z oprogramowaniem do poprawy widoczności stentów w naczyniach wieńcowych (jeśli funkcjonalność nie jest realizowana przez komputer obrazowy angiografu),</w:t>
            </w:r>
          </w:p>
          <w:p w:rsidR="00E40E70" w:rsidRPr="00F02961" w:rsidRDefault="00E40E70" w:rsidP="00F02961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obrazu ze stacji roboczej z oprogramowaniem do rekonstrukcji 3D (jeśli funkcjonalność nie jest realizowana przez komputer obrazowy angiografu),</w:t>
            </w:r>
            <w:r w:rsidRPr="00F029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- obrazu przebiegów i parametrów obliczanych przez stację hemodynamiczną,</w:t>
            </w:r>
          </w:p>
        </w:tc>
        <w:tc>
          <w:tcPr>
            <w:tcW w:w="1276" w:type="dxa"/>
          </w:tcPr>
          <w:p w:rsidR="00D83135" w:rsidRDefault="00D83135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83135" w:rsidRPr="008669C6" w:rsidRDefault="00D8313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966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F6966" w:rsidRPr="00636C71" w:rsidRDefault="00BF6966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BF6966" w:rsidRPr="00F02961" w:rsidRDefault="00BF6966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Min. 3 uniwersalne panele z gniazdami video w różnych standardach, umożliwiające przyłączanie zewnętrznych urządzeń Zamawiającego do sterownika monitora opisanego powyżej, zainstalowane w pracowni w miejscach uzgodnionych z Zamawiającym; wymagane jest zachowanie separacji galwanicznej min. 4kV.</w:t>
            </w:r>
          </w:p>
        </w:tc>
        <w:tc>
          <w:tcPr>
            <w:tcW w:w="1276" w:type="dxa"/>
          </w:tcPr>
          <w:p w:rsidR="00BF6966" w:rsidRDefault="00BF6966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BF6966" w:rsidRPr="008669C6" w:rsidRDefault="00BF696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966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F6966" w:rsidRPr="00636C71" w:rsidRDefault="00BF6966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BF6966" w:rsidRPr="00F02961" w:rsidRDefault="00BF6966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Wybór sposobu prezentacji – sterowanie sposobem podziału monitora opisanego powyżej z pulpitu sterowniczego systemu cyfrowego w sali badań i w sterowni.</w:t>
            </w:r>
          </w:p>
        </w:tc>
        <w:tc>
          <w:tcPr>
            <w:tcW w:w="1276" w:type="dxa"/>
          </w:tcPr>
          <w:p w:rsidR="00BF6966" w:rsidRDefault="00BF6966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BF6966" w:rsidRPr="008669C6" w:rsidRDefault="00BF696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966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F6966" w:rsidRPr="00636C71" w:rsidRDefault="00BF6966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BF6966" w:rsidRPr="00F02961" w:rsidRDefault="00BF6966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Zabezpieczenie matrycy monitora opisanego powyżej przed działaniem cieczy i zmniejszające ryzyko mechanicznego jej uszkodzenia.</w:t>
            </w:r>
          </w:p>
        </w:tc>
        <w:tc>
          <w:tcPr>
            <w:tcW w:w="1276" w:type="dxa"/>
          </w:tcPr>
          <w:p w:rsidR="00BF6966" w:rsidRDefault="00BF6966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BF6966" w:rsidRPr="008669C6" w:rsidRDefault="00BF696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966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F6966" w:rsidRPr="00636C71" w:rsidRDefault="00BF6966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BF6966" w:rsidRPr="00F02961" w:rsidRDefault="00BF6966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Wyprowadzenie sygnału wyświetlanego na monitorze opisanym powyżej w rozdzielczości Full HD (1920x1080), umożliwiające jego przesyłanie do sali konferencyjnej oraz wyświetlanie na konwencjonalnym odbiorniku (telewizorze, projektorze).</w:t>
            </w:r>
          </w:p>
        </w:tc>
        <w:tc>
          <w:tcPr>
            <w:tcW w:w="1276" w:type="dxa"/>
          </w:tcPr>
          <w:p w:rsidR="00BF6966" w:rsidRDefault="00BF6966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BF6966" w:rsidRPr="008669C6" w:rsidRDefault="00BF696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966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F6966" w:rsidRPr="00636C71" w:rsidRDefault="00BF6966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BF6966" w:rsidRPr="00F02961" w:rsidRDefault="00BF6966" w:rsidP="00F02961">
            <w:pPr>
              <w:tabs>
                <w:tab w:val="left" w:pos="9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Konsola w sterowni z klawiaturą i myszą komputerową oraz min. 1 monitorem LCD o przekątnej min. 27” i łącznej rozdzielczości min. 4 mln pikseli, zapewniającym wyświetlanie co najmniej następujących sygnałów wizyjnych: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obrazów z angiografu (w tym live i referencyjnych)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obrazu ze stacji roboczej z oprogramowaniem do poprawy widoczności stentów w naczyniach wieńcowych (jeśli funkcjonalność nie jest realizowana przez komputer obrazowy angiografu)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F029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obrazów 3D ze stacji roboczej do rekonstrukcji 3D (jeśli funkcjonalność nie jest realizowana przez komputer obrazowy angiografu),</w:t>
            </w:r>
            <w:r w:rsidRPr="00F0296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- obrazu przebiegów i parametrów obliczanych przez stację hemodynamiczną</w:t>
            </w:r>
            <w:r w:rsidR="00BF6608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0296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- obrazu ze stacji roboczej RIS/PACS Zamawiającego w sterowni.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Wymagane jest zachowanie separacji galwanicznej min. 4kV między angiografem i innymi urządzeniami.</w:t>
            </w:r>
          </w:p>
        </w:tc>
        <w:tc>
          <w:tcPr>
            <w:tcW w:w="1276" w:type="dxa"/>
          </w:tcPr>
          <w:p w:rsidR="00BF6966" w:rsidRDefault="00BF6966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BF6966" w:rsidRPr="008669C6" w:rsidRDefault="00BF696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6966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F6966" w:rsidRPr="00636C71" w:rsidRDefault="00BF6966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BF6966" w:rsidRPr="00F02961" w:rsidRDefault="007143A5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System cyfrowy i oprogramowanie kliniczne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F6966" w:rsidRDefault="00BF6966" w:rsidP="00E2309C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BF6966" w:rsidRPr="008669C6" w:rsidRDefault="00BF696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Pakiet aplikacji redukujących dawkę (CARE, DoseWise lub równoważny – zależnie od nomenklatury producenta).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Pakiet specjalizowanych algorytmów działających w czasie rzeczywistym, poprawiających jakość uzyskiwanego obrazu i umożliwiających obrazowanie z obniżoną mocą dawki (CLEAR, ClarityIQ lub równoważny – zależnie od nomenklatury producenta).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Protokoły umożliwiające rejestrację obrazu z obniżoną min. o 50% dawką promieniowania względem wartości standardowych przy zachowaniu diagnostycznej jakości obrazu w typowych warunkach – bez zmiany częstotliwości obrazowania, kolimacji, stopnia powiększenia lub odległości źródło-obraz.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dobór okna (jasności i kontrastu), automatyczne wyostrzanie krawędzi, automatyczna redukcja szumu i automatyczna kompensacja artefaktów ruchowych – w czasie rzeczywistym na rejestrowanym obrazie.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Cyfrowa fluoroskopia pulsacyjna w zakresie min. 0,5-30 kl./s.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Zapis ostatniej fluoroskopii na dysku twardym min. 30 s przy 15 kl./s.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Funkcja LIH (zamrożenie ostatniego obrazu).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Funkcja nakładania odwróconego obrazu referencyjnego na obraz z fluoroskopii, dynamiczny roadmap lub inne rozwiązanie umożliwiające prowadzenie cewnika na obrazie drzewa naczyń krwionośnych bez konieczności podawania dodatkowej ilości kontrastu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Akwizycja kardiologiczna w zakresie min. 10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30 kl./s w matrycy min. 1024 × 1024 i min. 12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bitowej głębi szarości.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Akwizycja obrazów w trybie radiografii cyfrowej (DR) i w trybie angiografii subtrakcyjnej (DSA) w zakresie min. 1-6 obr./s w matrycy min. 1024 × 1024 i min. 12-bitowej głębi szarości.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pixel-shift w czasie rzeczywistym w trakcie akwizycji obrazów w trybie subtrakcyjnym.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i ręczny pixel-shift, zmiana maski i stopnia przenikania tła anatomicznego w post-processingu.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Prezentacja ostatnio zarejestrowanej sceny/pętli fluroskopii równolegle z obrazem LIVE na monitorach w sali zabiegowej i w sterowni.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Angiografia rotacyjna umożliwiająca wykonywanie rekonstrukcji obrazów 3D Min. 60 kl./s.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Ustawianie położenia przysłon prostokątnych i półprzepuszczalnych znacznikami graficznymi na zatrzymanym obrazie – bez promieniowania.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Ustawianie położenia płyty stołu pacjenta znacznikami graficznymi na zatrzymanym obrazie – bez promieniowania.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Pojemność dysku twardego systemu cyfrowego (bez kompresji) min. 100 000 obrazów w matrycy 1024 × 1024 × 12 bitów.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Zoom w postprocessingu.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poprawy widoczności stentów w naczyniach wieńcowych; zapis przetworzonych obrazów na dysku twardym.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Funkcja stabilizacji obrazu ruchomego stentu umożliwiająca korzystanie z oprogramowania opisanego w punkcie powyżej w czasie rzeczywistym, tj. w trakcie pozycjonowania stentu, bez przerywania promieniowania w celu postprocessingu obrazu.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analizy stenoz naczyń wieńcowych w oparciu o algorytmy posiadające walidację kliniczną (CAAS II lub równoważne), umożliwiające prowadzenie wieloośrodkowych badań naukowych minimum: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automatyczne rozpoznawanie kształtów,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określanie stopnia stenozy,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automatyczne i ręczne określanie średnicy referencyjnej,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automatyczna i manualna kalibracja,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pomiar średnicy.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Ekran dotykowy przy stole pacjenta – pulpit sterowniczy systemu cyfrowego w sali badań; realizacja funkcji systemu cyfrowego z pulpitu sterowniczego w sali badań.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Interfejs DICOM, min. usługi: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Send,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Storage Commitment,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Query/Retrieve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Worklist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MPPS</w:t>
            </w:r>
            <w:r w:rsidR="0067783B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(dopuszcza się realizację usług Worklist i MPPS przez stację hemodynamiczną, jeśli jednorazowa rejestracja pacjenta w całym systemie odbywa się za pośrednictwem stacji hemodynamicznej).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Wyświetlanie sygnału EKG rejestrowanego przez stację hemodynamiczną (z wybranego odprowadzenia) na tle obrazu live; zapis obrazów rentgenowskich wraz z sygnałem EKG w standardzie DICOM.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Eksport danych DICOM do nośników zewnętrznych, systemów plików lub węzłów sieciowych.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4D0205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Funkcja wykonywania automatycznej archiwizacji danych obrazowych w standardzie DICOM w zdefiniowanym węźle sieciowym – w miarę akwizycji kolejnych scen.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13C7C" w:rsidRPr="00F02961" w:rsidRDefault="00513C7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Czas uzyskania obrazu fluoroskopii po restarcie systemu komputerowego przy zachowaniu wszelkich ruchów geometrii stołu i ramienia C; dla rozwiązań, w których do przeprowadzenia restartu systemu komputerowego wymagany jest równoległy restart generatora, podać wspólny czas restartu systemu komputerowego i generatora maks. 120 s.</w:t>
            </w:r>
          </w:p>
        </w:tc>
        <w:tc>
          <w:tcPr>
            <w:tcW w:w="1276" w:type="dxa"/>
          </w:tcPr>
          <w:p w:rsidR="00513C7C" w:rsidRDefault="00513C7C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C7C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13C7C" w:rsidRPr="00636C71" w:rsidRDefault="00513C7C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513C7C" w:rsidRPr="00F02961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Stacja robocza do rekonstrukcji 3D i obrazowanie 3D (lub funkcjonalność systemu cyfrowego angiografu)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3C7C" w:rsidRDefault="00513C7C" w:rsidP="00E2309C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513C7C" w:rsidRPr="008669C6" w:rsidRDefault="00513C7C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F02961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Wyprowadzenie sygnału wizyjnego na monitory na zawieszeniu sufitowym w sali zabiegowej i w sterowni.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F02961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Wyświetlanie / przeglądanie obrazów 2D i wolumenów 3D zgodnych ze standardem DICOM, zarejestrowanych przez angiograf i inne urządzenia do diagnostyki obrazowej (min. CT, MR)</w:t>
            </w:r>
            <w:r w:rsidR="009F1734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0E602F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0E602F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Prezentacja obiektów 3D w technice Maximum Intensity Projection (MIP), Multi-Planar Reconstruction (MPR), Volume Rendering Technique (VRT)</w:t>
            </w:r>
            <w:r w:rsidR="009F1734" w:rsidRPr="000E602F"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F02961" w:rsidRDefault="0067783B" w:rsidP="00F02961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Interfejs DICOM, min. usługi: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Send/Receive,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Storage Commitment,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Query/Retrieve</w:t>
            </w:r>
            <w:r w:rsidR="009F1734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Print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(w przypadku oddzielnej stacji roboczej)</w:t>
            </w:r>
            <w:r w:rsidR="009F1734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F02961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wspomagające operatora w procesie uzyskania obrazów 3D, wczytujące właściwy protokół i rekomendujące parametry iniekcji, prowadzące użytkownika krok po kroku od wyboru przykładowego obrazu aż do uzyskania pożądanych wyników obrazowania</w:t>
            </w:r>
            <w:r w:rsidR="009F1734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F02961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rekonstrukcji wysokokontrastowej 3D obrazów bijącego serca na podstawie angiografii rotacyjnej wyzwalanej kątowo; możliwość wykorzystania zrekonstruowanych wolumenów 3D w systemach mapowania elektroanatomicznego (typu CARTO, EnSite NavX) jako podkład anatomiczny do budowy mapy potencjałów wewnątrzsercowych</w:t>
            </w:r>
            <w:r w:rsidR="009F1734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typu Dual Volume Display lub Calciview lub iDentify (lub typu równoważnego wg nomenklatury producenta) – różnicowanie na jednym obrazie dwóch obiektów wysokokontrastowych o prawie takiej samej gęstości; prezentacja niskokontrastowego obiektu 3D wraz z wysokokontrastowym obiektem 3D na jednym obrazie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Roadmap 3D z automatyczną korektą położenia obiektu 3D względem nałożonego obrazu 2D z prześwietlenia, uwzględniającą zmiany położenia statywu, stołu, powiększenia i odległości SID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Prezentacja konturów / obrysu obiektu 3D uzyskanego z rekonstrukcji danych z angiografii rotacyjnej wraz z zastosowaniem takiego obrazu jako maski do roadmapu 3D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Nakładanie (fuzja) obrazów 3D z CT, MR na obraz 2D z prześwietlenia oraz na obraz 3D uzyskany z rekonstrukcji danych z angiografii rotacyjnej – w obu przypadkach wraz z zastosowaniem takiego obrazu jako maski do roadmapu 3D.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wspomagania zabiegów przezskórnego wszczepiania zastawki aortalnej w oparciu o śródzabiegowe obrazowanie 3D lub uprzednio zarejestrowane obrazy CT minimum: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auto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matyczna segmentacja pnia aorty,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automatyczne oznaczanie charakterystycznych elementów anatomicznych (np. płatków zastawki, odejść naczyń wieńcowych) wraz z zastosowaniem takiego obrazu jako maski do roadmapu 3D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obliczanie projekcji ortogonalnej do płaszczyzny pierścienia zastawki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E2309C">
            <w:pPr>
              <w:jc w:val="center"/>
            </w:pPr>
            <w:r w:rsidRPr="00D64D7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Automatyczne ustawianie statywu w pozycji odpowiadającej obróconemu obiektowi 3D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obrót obiektu 3D do położenia odpowiadającego widokowi obiektu 3D po zmianie położenia statywu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7783B" w:rsidRPr="0084448D" w:rsidRDefault="0067783B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Pulpit obsługi obrazowania 3D w sali badań zintegrowany w pulpicie obsługi systemu cyfrowego angiografu – realizacja funkcji obrazowania 3D z pulpitu sterowniczego systemu cyfrowego angiografu w sali badań</w:t>
            </w:r>
            <w:r w:rsidR="009F1734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7783B" w:rsidRDefault="0067783B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783B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7783B" w:rsidRPr="00636C71" w:rsidRDefault="0067783B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67783B" w:rsidRPr="0084448D" w:rsidRDefault="009F1734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Stacja hemodynamiczna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7783B" w:rsidRDefault="0067783B" w:rsidP="00FC64CF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7783B" w:rsidRPr="008669C6" w:rsidRDefault="0067783B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Wyprowadzenie sygnału wizyjnego na monitory w sali badań i w sterowni.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Automatyczny transfer danych demograficznych pacjentów, rejestrowanych w stacji badań hemodynamicznych do systemu cyfrowego angiografu lub w kierunku przeciwnym (zależnie od miejsca rejestracji pacjenta w systemie) – jednokrotna rejestracja pacjenta w całym systemie.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Baza danych umożliwiająca przechowywanie wyników badań: danych demograficznych pacjentów wraz z zarejestrowanymi przynależnymi przebiegami EKG, ciśnień i innymi mierzonymi parametrami oraz z wyliczonymi wskaźnikami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Pomiar i jednoczesna prezentacja 12 kanałów EKG – w zestawie bezcieniowe kable EKG (min. 1 komplet odprowadzeń przedsercowych i kończynowych)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Pomiar i prezentacja częstości akcji serca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Pomiar i prezentacja rzutu serca (cardiac output, CO) metodą termodylucji – wraz z akcesoriami umożliwiającymi wykorzystanie termistorów min. 2 producentów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Pomiar i prezentacja SpO2 – łącznie z czujnikiem wielokrotnego użytku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Pomiar i prezentacja ciśnienia nieinwazyjnego – łącznie z mankietem pomiarowym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Pomiar i jednoczesna prezentacja min. 4 różnych ciśnień inwazyjnych – łącznie z min. 60 szt. jednorazowych czujników pomiarowych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obliczania parametrów hemodynamicznych (lewe i prawe serce dla dorosłych i dzieci) m.in. gradienty ciśnień, powierzchnie otwarcia zastawek, przecieki międzyjamowe, opory naczyniowe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Oprogramowanie do automatycznego obliczania współczynnika rezerwy wieńcowej FFR i wskaźnika spoczynkowego: DFR lub iFR w oparciu o pomiar za pomocą urządzeń min. 3 producentów wraz zapisem wyniku w bazie danych stacji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Pulpit sterowniczy stacji hemodynamicznej w sali badań zintegrowany w pulpicie obsługi systemu cyfrowego angiografu – realizacja funkcji stacji hemodynamicznej z pulpitu sterowniczego systemu cyfrowego angiografu w sali badań</w:t>
            </w:r>
          </w:p>
        </w:tc>
        <w:tc>
          <w:tcPr>
            <w:tcW w:w="1276" w:type="dxa"/>
          </w:tcPr>
          <w:p w:rsidR="00D0735F" w:rsidRDefault="00D0735F" w:rsidP="00FC64CF">
            <w:pPr>
              <w:jc w:val="center"/>
            </w:pPr>
            <w:r w:rsidRPr="00964A0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Kolorowa laserowa drukarka sieciowa do drukowania dokumentacji medycznej</w:t>
            </w:r>
          </w:p>
        </w:tc>
        <w:tc>
          <w:tcPr>
            <w:tcW w:w="1276" w:type="dxa"/>
          </w:tcPr>
          <w:p w:rsidR="00D0735F" w:rsidRDefault="00D0735F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735F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D0735F" w:rsidRPr="00636C71" w:rsidRDefault="00D0735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0735F" w:rsidRPr="0084448D" w:rsidRDefault="00D0735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UPS zarezerwowany wyłącznie dla stacji badań hemodynamicznych, umożliwiający w przypadku zaniku zasilania zapisanie w pamięci zmierzonych krzywych/wyliczonych parametrów hemodynamicznych</w:t>
            </w:r>
          </w:p>
        </w:tc>
        <w:tc>
          <w:tcPr>
            <w:tcW w:w="1276" w:type="dxa"/>
          </w:tcPr>
          <w:p w:rsidR="00D0735F" w:rsidRDefault="00D0735F" w:rsidP="00B90C14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D0735F" w:rsidRPr="008669C6" w:rsidRDefault="00D0735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84448D" w:rsidRPr="0084448D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Wyposażenie dodatkow</w:t>
            </w:r>
            <w:r w:rsidR="008444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2462" w:rsidRDefault="00AA2462" w:rsidP="00E2309C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Gniazda zasilania i synchronizacji automatycznego wstrzykiwacza środków kontrastowych z angiografem w sali badań i w sterowni.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Osłona przed promieniowaniem na dolne partie ciała (dla personelu) w postaci fartucha z gumy ołowiowej mocowanego do szyn akcesoryjnych przy stole pacjenta (z możliwością ustawienia z lewej i prawej strony stołu) o równoważniku min. 0,5 mm Pb – 1 szt.; osłona wyposażona w dodatkowy wymienny element o zmniejszonej wysokości, ułatwiający wykonywanie zabiegów z dostępu promieniowego.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Osłona przed promieniowaniem na górne części ciała w postaci szyby ołowiowej o równoważniku min. 0,5 mm Pb i wymiarach min. 60 cm × 75 cm, mocowana na jezdnej kolumnie sufitowej.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AA2462" w:rsidP="00F02961">
            <w:pPr>
              <w:tabs>
                <w:tab w:val="left" w:pos="181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Lampa do oświetlania pola cewnikowania na wspólnej z osłoną przed promieniowaniem kolumnie sufitowej w technologii LED o minimalnych parametrach: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luminancja w odległości 1 m: 70 000 luksów,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zakres roboczy: min. 70-140 cm,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czasza o średnicy min. 33 cm lub wymiarach min. 28 cm x 36 cm,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regulacja wielkości pola oświetlania min. 14-25 cm,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temp. barwowa: 4100K ± 200K,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indeks barwny Ra przy 4100K: min. 95,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min. 16 diod świecących.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Interkom 2-kierunkowy sterownia-sala badań.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UPS (min. 40 kVA) rezerwujący zasilanie dla wszystkich elementów zestawu angiokardiograficznego niezbędnych dla bezpiecznego zakończenia i zapisania (zapamiętania) badania przez czas min. 5 minut; dla utrzymania ciągłości obrazowania radiologicznego konieczne jest zapewnienie co najmniej fluoroskopii w wymaganym czasie. 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:rsidR="00AA2462" w:rsidRPr="00F02961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wymagania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2462" w:rsidRDefault="00AA2462" w:rsidP="00E2309C">
            <w:pPr>
              <w:jc w:val="center"/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045D8C" w:rsidRDefault="00716ECC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Angiograf </w:t>
            </w:r>
            <w:r w:rsidR="00F02961"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musi posiadać dokumenty</w:t>
            </w:r>
            <w:r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E602F"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( certyfikaty zgodności i/lub </w:t>
            </w:r>
            <w:r w:rsidR="00045D8C"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deklaracje zgodności</w:t>
            </w:r>
            <w:r w:rsidR="00F02961"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i</w:t>
            </w:r>
            <w:r w:rsidR="00AA2462"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dopuszczenia zgodnie z obowiązującym prawem.</w:t>
            </w:r>
            <w:r w:rsidR="000E602F" w:rsidRPr="00045D8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3314CA" w:rsidRPr="003314CA" w:rsidRDefault="003314CA" w:rsidP="00716ECC">
            <w:pPr>
              <w:tabs>
                <w:tab w:val="left" w:pos="1816"/>
              </w:tabs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F02961" w:rsidRDefault="00AA2462" w:rsidP="0084448D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Dostawa, instalacja oraz uruchomienie </w:t>
            </w:r>
            <w:r w:rsidR="008444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urządzenia </w:t>
            </w:r>
            <w:r w:rsidR="005D23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ramach ceny ofertowej 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 miejscu wskazanym przez Zamawiającego. Wykonawca przekaże urządzenie do eksploatacji ze wszystkimi niezbędnymi dokumentami (paszport techniczny itp.).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84448D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Instrukcja obsługi w języku polskim w wersji elektronicznej i papierowej – po dostawie systemu.</w:t>
            </w:r>
          </w:p>
        </w:tc>
        <w:tc>
          <w:tcPr>
            <w:tcW w:w="1276" w:type="dxa"/>
          </w:tcPr>
          <w:p w:rsidR="00AA2462" w:rsidRPr="0084448D" w:rsidRDefault="00AA2462" w:rsidP="00E2309C">
            <w:pPr>
              <w:jc w:val="center"/>
            </w:pPr>
            <w:r w:rsidRPr="0084448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84448D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4448D" w:rsidRPr="0084448D" w:rsidRDefault="00AA2462" w:rsidP="0084448D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Wykonanie testów odbiorczych oraz specjalistycznych po instalacji oferowanego </w:t>
            </w:r>
            <w:r w:rsidR="0084448D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przedmiotu zamówienia </w:t>
            </w:r>
            <w:r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zgodnie z aktualnie obowiązującym Rozporządzeniem Ministra Z</w:t>
            </w:r>
            <w:r w:rsidR="0084448D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>drowia</w:t>
            </w:r>
          </w:p>
        </w:tc>
        <w:tc>
          <w:tcPr>
            <w:tcW w:w="1276" w:type="dxa"/>
          </w:tcPr>
          <w:p w:rsidR="00AA2462" w:rsidRPr="0084448D" w:rsidRDefault="00AA2462" w:rsidP="00E2309C">
            <w:pPr>
              <w:jc w:val="center"/>
            </w:pPr>
            <w:r w:rsidRPr="0084448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84448D" w:rsidRDefault="000E602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Aparat przystosowany do integracji</w:t>
            </w:r>
            <w:r w:rsidR="00AA2462" w:rsidRPr="008444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systemem RIS Zamawiającego w zakresie importu danych pacjenta z systemu RIS poprzez DICOM Worklist.</w:t>
            </w:r>
          </w:p>
        </w:tc>
        <w:tc>
          <w:tcPr>
            <w:tcW w:w="1276" w:type="dxa"/>
          </w:tcPr>
          <w:p w:rsidR="00AA2462" w:rsidRPr="0084448D" w:rsidRDefault="00AA2462" w:rsidP="00E2309C">
            <w:pPr>
              <w:jc w:val="center"/>
            </w:pPr>
            <w:r w:rsidRPr="0084448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F02961" w:rsidRDefault="000E602F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Aparat przystosowany do integracji z  systemem </w:t>
            </w:r>
            <w:r w:rsidR="00AA2462"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PACS Zamawiającego w zakresie wysyłania danych obrazowych i raportów o dawce.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2462" w:rsidRPr="00F02961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Gwarantowana dostępność części zamiennych przez min. 10 lat z wyłączeniem sprzętu IT; dla sprzętu IT przez min. 5 lat.</w:t>
            </w:r>
          </w:p>
        </w:tc>
        <w:tc>
          <w:tcPr>
            <w:tcW w:w="1276" w:type="dxa"/>
          </w:tcPr>
          <w:p w:rsidR="00AA2462" w:rsidRDefault="00AA2462" w:rsidP="00E2309C">
            <w:pPr>
              <w:jc w:val="center"/>
            </w:pPr>
            <w:r w:rsidRPr="00E768E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462" w:rsidRPr="00636C71" w:rsidRDefault="00AA2462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2462" w:rsidRPr="00F02961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9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 dodatkowe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2462" w:rsidRPr="008669C6" w:rsidRDefault="00AA2462" w:rsidP="000A18AC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18AC" w:rsidRPr="008669C6" w:rsidRDefault="000A18AC" w:rsidP="000A18AC">
            <w:pPr>
              <w:tabs>
                <w:tab w:val="left" w:pos="181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62" w:rsidRPr="00F02961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Szkolenie dla personelu z obsługi systemu, aplikacji, potwierdzone certyfikatami, co najmniej: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- 5 dni x 6 godz. po instalacji i uruchomieniu aparatu</w:t>
            </w: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- 10 dni x 6 godz. w terminie późniejszym, uzgodnionym z użytkownikiem.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62" w:rsidRDefault="00AA2462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62" w:rsidRPr="00F02961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2961">
              <w:rPr>
                <w:rFonts w:asciiTheme="minorHAnsi" w:hAnsiTheme="minorHAnsi" w:cstheme="minorHAnsi"/>
                <w:bCs/>
                <w:sz w:val="20"/>
                <w:szCs w:val="20"/>
              </w:rPr>
              <w:t>Wykonawca zapewni Zamawiającemu dostęp do dedykowanego centrum szkoleniowego oraz udział w szkoleniach on-line prowadzonych przez producenta wraz z wystawieniem dokumentu potwierdzającego uzyskanie wymaganych kwalifikacji.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62" w:rsidRDefault="00AA2462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462" w:rsidRPr="00F02961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2961">
              <w:rPr>
                <w:rFonts w:asciiTheme="minorHAnsi" w:hAnsiTheme="minorHAnsi" w:cstheme="minorHAnsi"/>
                <w:bCs/>
                <w:sz w:val="22"/>
                <w:szCs w:val="22"/>
              </w:rPr>
              <w:t>Szkolenie personelu  użytkownika w zakresie obsługi przedmiotu zamówienia niezbędnego do eksploatacji urządzenia (minimum 5 osób).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62" w:rsidRDefault="00AA2462" w:rsidP="00E2309C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462" w:rsidRPr="008669C6" w:rsidTr="00F0296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462" w:rsidRPr="00636C71" w:rsidRDefault="00AA2462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462" w:rsidRPr="00F02961" w:rsidRDefault="00AA2462" w:rsidP="00F02961">
            <w:pPr>
              <w:tabs>
                <w:tab w:val="left" w:pos="181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02961">
              <w:rPr>
                <w:rFonts w:asciiTheme="minorHAnsi" w:hAnsiTheme="minorHAnsi" w:cstheme="minorHAnsi"/>
                <w:bCs/>
                <w:sz w:val="22"/>
                <w:szCs w:val="22"/>
              </w:rPr>
              <w:t>Szkolenie personelu technicznego zamawiającego w zakresie podstawowych czynności sprawdzenia stanu technicznego urządzenia i podstawowej konserwacji technicznej. Szkolenie obejmujące co najmniej 2 osoby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462" w:rsidRDefault="00AA2462" w:rsidP="00E2309C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462" w:rsidRPr="008669C6" w:rsidRDefault="00AA2462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0A18AC" w:rsidRDefault="000A18AC">
      <w:pPr>
        <w:rPr>
          <w:rFonts w:ascii="Arial" w:hAnsi="Arial" w:cs="Arial"/>
          <w:b/>
          <w:bCs/>
          <w:sz w:val="20"/>
          <w:szCs w:val="20"/>
        </w:rPr>
      </w:pPr>
    </w:p>
    <w:p w:rsidR="00270724" w:rsidRPr="001D0E87" w:rsidRDefault="00861370" w:rsidP="00861370">
      <w:pPr>
        <w:rPr>
          <w:rFonts w:ascii="Arial" w:hAnsi="Arial" w:cs="Arial"/>
          <w:b/>
          <w:bCs/>
          <w:sz w:val="18"/>
          <w:szCs w:val="18"/>
        </w:rPr>
      </w:pPr>
      <w:r w:rsidRPr="001D0E87">
        <w:rPr>
          <w:rFonts w:ascii="Arial" w:hAnsi="Arial" w:cs="Arial"/>
          <w:b/>
          <w:bCs/>
          <w:sz w:val="18"/>
          <w:szCs w:val="18"/>
        </w:rPr>
        <w:t xml:space="preserve">8. Walory techniczno-eksploatacyjne punktowane przez użytkownika </w:t>
      </w:r>
      <w:r w:rsidR="001D0E87">
        <w:rPr>
          <w:rFonts w:ascii="Arial" w:hAnsi="Arial" w:cs="Arial"/>
          <w:b/>
          <w:bCs/>
          <w:sz w:val="18"/>
          <w:szCs w:val="18"/>
        </w:rPr>
        <w:t>w kryterium Parametry techni</w:t>
      </w:r>
      <w:r w:rsidR="00E51184">
        <w:rPr>
          <w:rFonts w:ascii="Arial" w:hAnsi="Arial" w:cs="Arial"/>
          <w:b/>
          <w:bCs/>
          <w:sz w:val="18"/>
          <w:szCs w:val="18"/>
        </w:rPr>
        <w:t>czne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3827"/>
        <w:gridCol w:w="1418"/>
        <w:gridCol w:w="3260"/>
      </w:tblGrid>
      <w:tr w:rsidR="00B32D53" w:rsidRPr="003A02A9" w:rsidTr="00EF55C2">
        <w:trPr>
          <w:trHeight w:val="477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32D53" w:rsidRPr="001D0E87" w:rsidRDefault="00B32D53" w:rsidP="00DC1B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D0E87">
              <w:rPr>
                <w:rFonts w:ascii="Arial Narrow" w:hAnsi="Arial Narrow"/>
                <w:b/>
                <w:bCs/>
                <w:sz w:val="18"/>
                <w:szCs w:val="18"/>
              </w:rPr>
              <w:t>Nr ppkt.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B32D53" w:rsidRPr="001D0E87" w:rsidRDefault="00B32D53" w:rsidP="00DC1B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D0E87">
              <w:rPr>
                <w:rFonts w:ascii="Arial Narrow" w:hAnsi="Arial Narrow"/>
                <w:b/>
                <w:bCs/>
                <w:sz w:val="18"/>
                <w:szCs w:val="18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32D53" w:rsidRPr="001D0E87" w:rsidRDefault="00B32D53" w:rsidP="00DC1B9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D0E87">
              <w:rPr>
                <w:rFonts w:ascii="Arial Narrow" w:hAnsi="Arial Narrow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61370" w:rsidRPr="001D0E87" w:rsidRDefault="00861370" w:rsidP="00861370">
            <w:pPr>
              <w:keepNext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D0E87">
              <w:rPr>
                <w:rFonts w:ascii="Arial Narrow" w:hAnsi="Arial Narrow"/>
                <w:b/>
                <w:bCs/>
                <w:sz w:val="18"/>
                <w:szCs w:val="18"/>
              </w:rPr>
              <w:t>Parametry oferowane</w:t>
            </w:r>
          </w:p>
          <w:p w:rsidR="00861370" w:rsidRPr="001D0E87" w:rsidRDefault="00861370" w:rsidP="00861370">
            <w:pPr>
              <w:keepNext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1D0E87">
              <w:rPr>
                <w:rFonts w:ascii="Arial Narrow" w:hAnsi="Arial Narrow"/>
                <w:bCs/>
                <w:sz w:val="18"/>
                <w:szCs w:val="18"/>
              </w:rPr>
              <w:t xml:space="preserve"> ( podać, opisać ). </w:t>
            </w:r>
          </w:p>
          <w:p w:rsidR="00B32D53" w:rsidRPr="001D0E87" w:rsidRDefault="00861370" w:rsidP="00861370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0E87">
              <w:rPr>
                <w:rFonts w:ascii="Arial Narrow" w:hAnsi="Arial Narrow"/>
                <w:bCs/>
                <w:sz w:val="18"/>
                <w:szCs w:val="18"/>
              </w:rPr>
              <w:t>Należy szczegółowo opisać jeżeli jest oferowany</w:t>
            </w:r>
          </w:p>
        </w:tc>
      </w:tr>
      <w:tr w:rsidR="005A21D6" w:rsidRPr="003A02A9" w:rsidTr="00660ADB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21D6" w:rsidRPr="001D0E87" w:rsidRDefault="005A21D6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A21D6" w:rsidRPr="001D0E87" w:rsidRDefault="000A18AC" w:rsidP="000A18AC">
            <w:pPr>
              <w:tabs>
                <w:tab w:val="left" w:pos="1816"/>
              </w:tabs>
              <w:rPr>
                <w:sz w:val="18"/>
                <w:szCs w:val="18"/>
              </w:rPr>
            </w:pPr>
            <w:r w:rsidRPr="000A18AC">
              <w:rPr>
                <w:rFonts w:ascii="Arial" w:hAnsi="Arial" w:cs="Arial"/>
                <w:b/>
                <w:bCs/>
                <w:sz w:val="20"/>
                <w:szCs w:val="20"/>
              </w:rPr>
              <w:t>Statyw z ramieniem C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4508" w:rsidRPr="001D0E87" w:rsidRDefault="00924508" w:rsidP="000A18A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A21D6" w:rsidRPr="001D0E87" w:rsidRDefault="005A21D6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508" w:rsidRPr="003A02A9" w:rsidTr="00EF55C2">
        <w:tc>
          <w:tcPr>
            <w:tcW w:w="851" w:type="dxa"/>
            <w:shd w:val="clear" w:color="auto" w:fill="auto"/>
            <w:vAlign w:val="center"/>
          </w:tcPr>
          <w:p w:rsidR="00924508" w:rsidRPr="001D0E87" w:rsidRDefault="00924508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924508" w:rsidRPr="00F02961" w:rsidRDefault="000A18AC" w:rsidP="00F02961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Automatyczny wybór obrazu referencyjnego (ze zbioru obrazów referencyjnych) odpowiadającego aktualnemu ustawieniu statywu.</w:t>
            </w:r>
          </w:p>
        </w:tc>
        <w:tc>
          <w:tcPr>
            <w:tcW w:w="1418" w:type="dxa"/>
            <w:vAlign w:val="center"/>
          </w:tcPr>
          <w:p w:rsidR="000A18AC" w:rsidRPr="000B6D75" w:rsidRDefault="000A18AC" w:rsidP="000A18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Tak - </w:t>
            </w:r>
            <w:r w:rsid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pkt.</w:t>
            </w:r>
          </w:p>
          <w:p w:rsidR="00924508" w:rsidRPr="000B6D75" w:rsidRDefault="000A18AC" w:rsidP="000A18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Nie 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4508" w:rsidRPr="001D0E87" w:rsidRDefault="00924508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4508" w:rsidRPr="003A02A9" w:rsidTr="00660ADB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24508" w:rsidRPr="001D0E87" w:rsidRDefault="00924508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924508" w:rsidRPr="00F02961" w:rsidRDefault="000A18AC" w:rsidP="000A18A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Stół pacjenta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24508" w:rsidRPr="000B6D75" w:rsidRDefault="00924508" w:rsidP="005C2E69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24508" w:rsidRPr="001D0E87" w:rsidRDefault="00924508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8AC" w:rsidRPr="003A02A9" w:rsidTr="00EF55C2">
        <w:tc>
          <w:tcPr>
            <w:tcW w:w="851" w:type="dxa"/>
            <w:shd w:val="clear" w:color="auto" w:fill="auto"/>
            <w:vAlign w:val="center"/>
          </w:tcPr>
          <w:p w:rsidR="000A18AC" w:rsidRPr="001D0E87" w:rsidRDefault="000A18AC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0A18AC" w:rsidRPr="00F02961" w:rsidRDefault="000A18AC" w:rsidP="00F02961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Przezierny dla promieniowania, dopasowany kształtem i wielkością do blatu stołu, podgrzewany materac z pokrowcem oraz możliwością ustawienia i monitorowania temperatury powierzchni materaca z pulpitu przy stole pacjenta (w zakresie min. 32-39°C z krokiem maks. 0,5°C; czas nagrzewania od 20°C do 37°C poniżej 10 min.).</w:t>
            </w:r>
          </w:p>
        </w:tc>
        <w:tc>
          <w:tcPr>
            <w:tcW w:w="1418" w:type="dxa"/>
            <w:vAlign w:val="center"/>
          </w:tcPr>
          <w:p w:rsidR="000A18AC" w:rsidRPr="000B6D75" w:rsidRDefault="000A18AC" w:rsidP="000A18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Tak - </w:t>
            </w:r>
            <w:r w:rsid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pkt.</w:t>
            </w:r>
          </w:p>
          <w:p w:rsidR="000A18AC" w:rsidRPr="000B6D75" w:rsidRDefault="000A18AC" w:rsidP="000A18AC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Nie 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18AC" w:rsidRPr="001D0E87" w:rsidRDefault="000A18AC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18AC" w:rsidRPr="003A02A9" w:rsidTr="00660ADB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A18AC" w:rsidRPr="001D0E87" w:rsidRDefault="000A18AC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0A18AC" w:rsidRPr="00F02961" w:rsidRDefault="000A18AC" w:rsidP="000A18AC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Generator wysokiego </w:t>
            </w:r>
            <w:r w:rsidR="001651D5"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napięcia</w:t>
            </w:r>
            <w:r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1651D5"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system</w:t>
            </w:r>
            <w:r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651D5"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kontroli</w:t>
            </w:r>
            <w:r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651D5"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ekspozycji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A18AC" w:rsidRPr="000B6D75" w:rsidRDefault="000A18AC" w:rsidP="005C2E69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A18AC" w:rsidRPr="001D0E87" w:rsidRDefault="000A18AC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1D5" w:rsidRPr="003A02A9" w:rsidTr="00EF55C2">
        <w:tc>
          <w:tcPr>
            <w:tcW w:w="851" w:type="dxa"/>
            <w:shd w:val="clear" w:color="auto" w:fill="auto"/>
            <w:vAlign w:val="center"/>
          </w:tcPr>
          <w:p w:rsidR="001651D5" w:rsidRPr="001D0E87" w:rsidRDefault="001651D5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1651D5" w:rsidRPr="00F02961" w:rsidRDefault="001651D5" w:rsidP="00F02961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Dopasowanie widma generowanego promieniowania do absorpcji interesującego operatora materiału (w tym jodu, baru, żelaza, platyny, tantalu, gazu) w celu poprawy jego widoczności na obrazie.</w:t>
            </w:r>
          </w:p>
        </w:tc>
        <w:tc>
          <w:tcPr>
            <w:tcW w:w="1418" w:type="dxa"/>
            <w:vAlign w:val="center"/>
          </w:tcPr>
          <w:p w:rsidR="001651D5" w:rsidRPr="000B6D75" w:rsidRDefault="001651D5" w:rsidP="001651D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Tak - 5 pkt.</w:t>
            </w:r>
          </w:p>
          <w:p w:rsidR="001651D5" w:rsidRPr="000B6D75" w:rsidRDefault="001651D5" w:rsidP="001651D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Nie 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1D5" w:rsidRPr="001D0E87" w:rsidRDefault="001651D5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1D5" w:rsidRPr="003A02A9" w:rsidTr="00EF55C2">
        <w:tc>
          <w:tcPr>
            <w:tcW w:w="851" w:type="dxa"/>
            <w:shd w:val="clear" w:color="auto" w:fill="auto"/>
            <w:vAlign w:val="center"/>
          </w:tcPr>
          <w:p w:rsidR="001651D5" w:rsidRPr="001D0E87" w:rsidRDefault="001651D5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1651D5" w:rsidRPr="00F02961" w:rsidRDefault="001651D5" w:rsidP="00F02961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Min. 2 dodatkowe (oprócz fluoroskopii i akwizycji zdjęciowej), konfigurowalne przyciski nożnego włącznika promieniowania.</w:t>
            </w:r>
          </w:p>
        </w:tc>
        <w:tc>
          <w:tcPr>
            <w:tcW w:w="1418" w:type="dxa"/>
            <w:vAlign w:val="center"/>
          </w:tcPr>
          <w:p w:rsidR="001651D5" w:rsidRPr="000B6D75" w:rsidRDefault="001651D5" w:rsidP="001651D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Tak - </w:t>
            </w:r>
            <w:r w:rsid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pkt.</w:t>
            </w:r>
          </w:p>
          <w:p w:rsidR="001651D5" w:rsidRPr="000B6D75" w:rsidRDefault="001651D5" w:rsidP="001651D5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Nie 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1D5" w:rsidRPr="001D0E87" w:rsidRDefault="001651D5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1D5" w:rsidRPr="003A02A9" w:rsidTr="00660ADB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51D5" w:rsidRPr="001D0E87" w:rsidRDefault="001651D5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651D5" w:rsidRPr="00F02961" w:rsidRDefault="001651D5" w:rsidP="00CC2099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Lampa RTG, kolimator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651D5" w:rsidRPr="000B6D75" w:rsidRDefault="001651D5" w:rsidP="005C2E69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651D5" w:rsidRPr="001D0E87" w:rsidRDefault="001651D5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1D5" w:rsidRPr="003A02A9" w:rsidTr="00EF55C2">
        <w:tc>
          <w:tcPr>
            <w:tcW w:w="851" w:type="dxa"/>
            <w:shd w:val="clear" w:color="auto" w:fill="auto"/>
            <w:vAlign w:val="center"/>
          </w:tcPr>
          <w:p w:rsidR="001651D5" w:rsidRPr="001D0E87" w:rsidRDefault="001651D5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1651D5" w:rsidRPr="00F02961" w:rsidRDefault="007B5C9F" w:rsidP="00F02961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Przyciski na obudowie detektora umożliwiające co najmniej zmianę angulacji ramienia C oraz odległości źródło-obraz przez operatora stojącego u wezgłowia pacjenta.</w:t>
            </w:r>
          </w:p>
        </w:tc>
        <w:tc>
          <w:tcPr>
            <w:tcW w:w="1418" w:type="dxa"/>
            <w:vAlign w:val="center"/>
          </w:tcPr>
          <w:p w:rsidR="007B5C9F" w:rsidRPr="000B6D75" w:rsidRDefault="007B5C9F" w:rsidP="007B5C9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Tak - </w:t>
            </w:r>
            <w:r w:rsid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pkt.</w:t>
            </w:r>
          </w:p>
          <w:p w:rsidR="001651D5" w:rsidRPr="000B6D75" w:rsidRDefault="007B5C9F" w:rsidP="007B5C9F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Nie 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651D5" w:rsidRPr="001D0E87" w:rsidRDefault="001651D5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4ED" w:rsidRPr="003A02A9" w:rsidTr="00660ADB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054ED" w:rsidRPr="001D0E87" w:rsidRDefault="005054ED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54ED" w:rsidRPr="00F02961" w:rsidRDefault="007B5C9F" w:rsidP="00CC2099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System cyfrowy i oprogramowanie kliniczne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054ED" w:rsidRPr="000B6D75" w:rsidRDefault="005054ED" w:rsidP="005C2E69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054ED" w:rsidRPr="001D0E87" w:rsidRDefault="005054ED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C9F" w:rsidRPr="003A02A9" w:rsidTr="00EF55C2">
        <w:tc>
          <w:tcPr>
            <w:tcW w:w="851" w:type="dxa"/>
            <w:shd w:val="clear" w:color="auto" w:fill="auto"/>
            <w:vAlign w:val="center"/>
          </w:tcPr>
          <w:p w:rsidR="007B5C9F" w:rsidRPr="001D0E87" w:rsidRDefault="007B5C9F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7B5C9F" w:rsidRPr="00F02961" w:rsidRDefault="007B5C9F" w:rsidP="00F02961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Nakładanie (fuzja) obrazów 3D z PET na obraz 2D z prześwietlenia oraz na obraz 3D uzyskany z rekonstrukcji danych z angiografii rotacyjnej – w obu przypadkach wraz z zastosowaniem takiego obrazu jako maski do roadmapu 3D</w:t>
            </w:r>
            <w:r w:rsidR="00A51213"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A51213" w:rsidRPr="000B6D75" w:rsidRDefault="00A51213" w:rsidP="00A5121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Tak - </w:t>
            </w:r>
            <w:r w:rsid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pkt.</w:t>
            </w:r>
          </w:p>
          <w:p w:rsidR="007B5C9F" w:rsidRPr="000B6D75" w:rsidRDefault="00A51213" w:rsidP="00A5121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Nie 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5C9F" w:rsidRPr="001D0E87" w:rsidRDefault="007B5C9F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C9F" w:rsidRPr="003A02A9" w:rsidTr="00EF55C2">
        <w:tc>
          <w:tcPr>
            <w:tcW w:w="851" w:type="dxa"/>
            <w:shd w:val="clear" w:color="auto" w:fill="auto"/>
            <w:vAlign w:val="center"/>
          </w:tcPr>
          <w:p w:rsidR="007B5C9F" w:rsidRPr="001D0E87" w:rsidRDefault="007B5C9F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7B5C9F" w:rsidRPr="00F02961" w:rsidRDefault="007B5C9F" w:rsidP="00F02961">
            <w:pPr>
              <w:tabs>
                <w:tab w:val="left" w:pos="1816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Oprogramowanie stacji roboczej do rekonstrukcji 3D wspomagające wykonywanie zabiegów rewaskularyzacji naczyń wieńcowych u pacjentów z CTO (Chronic Total Occlusion) w oparciu o dane obrazowe z CT, automatycznie oznaczające linie środkowe naczyń wieńcowych i umożliwiające przedstawienie w kolorze skrótów perspektywicznych wraz z wykorzystaniem takiego obrazu jako maski dla roadmapu 3D</w:t>
            </w:r>
            <w:r w:rsidR="00A51213" w:rsidRPr="00F0296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A51213" w:rsidRPr="000B6D75" w:rsidRDefault="00A51213" w:rsidP="00A5121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Tak - </w:t>
            </w:r>
            <w:r w:rsid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5</w:t>
            </w: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pkt.</w:t>
            </w:r>
          </w:p>
          <w:p w:rsidR="007B5C9F" w:rsidRPr="000B6D75" w:rsidRDefault="00A51213" w:rsidP="00A51213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B6D75">
              <w:rPr>
                <w:rFonts w:ascii="Arial Narrow" w:hAnsi="Arial Narrow"/>
                <w:color w:val="000000" w:themeColor="text1"/>
                <w:sz w:val="18"/>
                <w:szCs w:val="18"/>
              </w:rPr>
              <w:t>Nie - 0 pkt.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B5C9F" w:rsidRPr="001D0E87" w:rsidRDefault="007B5C9F" w:rsidP="00DC1B98">
            <w:pPr>
              <w:pStyle w:val="Domyni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1370" w:rsidRPr="00B310E5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861370" w:rsidRPr="00EA072B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861370" w:rsidRPr="00EA072B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i </w:t>
      </w:r>
      <w:r w:rsidR="00872FCB">
        <w:rPr>
          <w:rFonts w:ascii="Arial" w:hAnsi="Arial" w:cs="Arial"/>
          <w:bCs/>
          <w:sz w:val="16"/>
          <w:szCs w:val="16"/>
        </w:rPr>
        <w:t xml:space="preserve">8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</w:t>
      </w:r>
      <w:r w:rsidR="00924508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EA072B">
        <w:rPr>
          <w:rFonts w:ascii="Arial" w:hAnsi="Arial" w:cs="Arial"/>
          <w:bCs/>
          <w:sz w:val="16"/>
          <w:szCs w:val="16"/>
        </w:rPr>
        <w:t>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61370" w:rsidRPr="001D0E87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861370" w:rsidRPr="00237CD3" w:rsidRDefault="00861370" w:rsidP="00861370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 w:rsidR="00924508"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 w:rsidR="00924508"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DF6E54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:rsidR="00DF6E54" w:rsidRDefault="00DF6E54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61370" w:rsidRPr="00237CD3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sz w:val="16"/>
          <w:szCs w:val="18"/>
        </w:rPr>
        <w:tab/>
      </w:r>
    </w:p>
    <w:p w:rsidR="00861370" w:rsidRPr="00237CD3" w:rsidRDefault="00861370" w:rsidP="0086137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861370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872FCB" w:rsidRDefault="00872FCB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72FCB" w:rsidRDefault="00872FCB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0E1425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A8A" w:rsidRDefault="00614A8A">
      <w:r>
        <w:separator/>
      </w:r>
    </w:p>
  </w:endnote>
  <w:endnote w:type="continuationSeparator" w:id="0">
    <w:p w:rsidR="00614A8A" w:rsidRDefault="0061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4A8A" w:rsidRPr="0022564C" w:rsidRDefault="00614A8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2859C5" w:rsidRPr="002859C5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2859C5" w:rsidRPr="002859C5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045D8C" w:rsidRPr="00045D8C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2859C5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14A8A" w:rsidRDefault="00614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A8A" w:rsidRDefault="00614A8A">
      <w:r>
        <w:separator/>
      </w:r>
    </w:p>
  </w:footnote>
  <w:footnote w:type="continuationSeparator" w:id="0">
    <w:p w:rsidR="00614A8A" w:rsidRDefault="0061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A8A" w:rsidRDefault="00614A8A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5D8C"/>
    <w:rsid w:val="00046DB2"/>
    <w:rsid w:val="00063E62"/>
    <w:rsid w:val="00064700"/>
    <w:rsid w:val="000648D0"/>
    <w:rsid w:val="000675E3"/>
    <w:rsid w:val="000827EB"/>
    <w:rsid w:val="00085612"/>
    <w:rsid w:val="00090107"/>
    <w:rsid w:val="00095B42"/>
    <w:rsid w:val="000A18AC"/>
    <w:rsid w:val="000B6D75"/>
    <w:rsid w:val="000B7983"/>
    <w:rsid w:val="000C2B15"/>
    <w:rsid w:val="000C4AF1"/>
    <w:rsid w:val="000D3A07"/>
    <w:rsid w:val="000E1425"/>
    <w:rsid w:val="000E602F"/>
    <w:rsid w:val="000E6D67"/>
    <w:rsid w:val="000F03C3"/>
    <w:rsid w:val="000F36F3"/>
    <w:rsid w:val="000F39C0"/>
    <w:rsid w:val="001015CE"/>
    <w:rsid w:val="00123314"/>
    <w:rsid w:val="001239D8"/>
    <w:rsid w:val="00123D38"/>
    <w:rsid w:val="00124BFD"/>
    <w:rsid w:val="0013051A"/>
    <w:rsid w:val="001311CB"/>
    <w:rsid w:val="00134F10"/>
    <w:rsid w:val="00135BEB"/>
    <w:rsid w:val="00137BC7"/>
    <w:rsid w:val="00142771"/>
    <w:rsid w:val="0014559E"/>
    <w:rsid w:val="001475B8"/>
    <w:rsid w:val="0015254D"/>
    <w:rsid w:val="00164B62"/>
    <w:rsid w:val="001651D5"/>
    <w:rsid w:val="001660B1"/>
    <w:rsid w:val="00171B41"/>
    <w:rsid w:val="001747CE"/>
    <w:rsid w:val="00174B95"/>
    <w:rsid w:val="00176759"/>
    <w:rsid w:val="0017752C"/>
    <w:rsid w:val="00191204"/>
    <w:rsid w:val="00197F11"/>
    <w:rsid w:val="001A28EE"/>
    <w:rsid w:val="001B2925"/>
    <w:rsid w:val="001C1CC3"/>
    <w:rsid w:val="001C2DA9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57A2A"/>
    <w:rsid w:val="00270724"/>
    <w:rsid w:val="00270CC8"/>
    <w:rsid w:val="00271373"/>
    <w:rsid w:val="002718CE"/>
    <w:rsid w:val="002859C5"/>
    <w:rsid w:val="00294549"/>
    <w:rsid w:val="00294AAE"/>
    <w:rsid w:val="002964EB"/>
    <w:rsid w:val="002A4D3D"/>
    <w:rsid w:val="002A4DBB"/>
    <w:rsid w:val="002B00B7"/>
    <w:rsid w:val="002B061C"/>
    <w:rsid w:val="002C4E28"/>
    <w:rsid w:val="002D1835"/>
    <w:rsid w:val="002D1EE7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314CA"/>
    <w:rsid w:val="00331CD5"/>
    <w:rsid w:val="00333A8E"/>
    <w:rsid w:val="00335AD0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672C"/>
    <w:rsid w:val="00393A44"/>
    <w:rsid w:val="003A02A9"/>
    <w:rsid w:val="003A181A"/>
    <w:rsid w:val="003A2E48"/>
    <w:rsid w:val="003A3B11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04BBF"/>
    <w:rsid w:val="00417C00"/>
    <w:rsid w:val="00431DB6"/>
    <w:rsid w:val="00436CFF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4FCE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46F3"/>
    <w:rsid w:val="004E0018"/>
    <w:rsid w:val="004E20EF"/>
    <w:rsid w:val="004E512B"/>
    <w:rsid w:val="004F413E"/>
    <w:rsid w:val="004F51D1"/>
    <w:rsid w:val="005054ED"/>
    <w:rsid w:val="00513968"/>
    <w:rsid w:val="00513C7C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67546"/>
    <w:rsid w:val="00571948"/>
    <w:rsid w:val="00571CB5"/>
    <w:rsid w:val="00582691"/>
    <w:rsid w:val="00582A68"/>
    <w:rsid w:val="0058443F"/>
    <w:rsid w:val="00596CEE"/>
    <w:rsid w:val="005971E5"/>
    <w:rsid w:val="00597995"/>
    <w:rsid w:val="005A19B4"/>
    <w:rsid w:val="005A21D6"/>
    <w:rsid w:val="005B15DC"/>
    <w:rsid w:val="005B3862"/>
    <w:rsid w:val="005B42FD"/>
    <w:rsid w:val="005B4A06"/>
    <w:rsid w:val="005C2E69"/>
    <w:rsid w:val="005D22C1"/>
    <w:rsid w:val="005D238D"/>
    <w:rsid w:val="005D24DA"/>
    <w:rsid w:val="005E3E57"/>
    <w:rsid w:val="005E49E3"/>
    <w:rsid w:val="005F31ED"/>
    <w:rsid w:val="005F4F0E"/>
    <w:rsid w:val="005F5EAB"/>
    <w:rsid w:val="005F6BC3"/>
    <w:rsid w:val="0060008A"/>
    <w:rsid w:val="0060715F"/>
    <w:rsid w:val="00614A8A"/>
    <w:rsid w:val="00617996"/>
    <w:rsid w:val="00620643"/>
    <w:rsid w:val="0062416B"/>
    <w:rsid w:val="006327BD"/>
    <w:rsid w:val="00633E55"/>
    <w:rsid w:val="0064161C"/>
    <w:rsid w:val="00645177"/>
    <w:rsid w:val="00645886"/>
    <w:rsid w:val="006551B0"/>
    <w:rsid w:val="00660ADB"/>
    <w:rsid w:val="0066300A"/>
    <w:rsid w:val="00663891"/>
    <w:rsid w:val="006638BE"/>
    <w:rsid w:val="00664DB8"/>
    <w:rsid w:val="00667EF3"/>
    <w:rsid w:val="0067783B"/>
    <w:rsid w:val="00677F64"/>
    <w:rsid w:val="00680FA5"/>
    <w:rsid w:val="006907CB"/>
    <w:rsid w:val="0069181C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11E7"/>
    <w:rsid w:val="006D1A95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3A5"/>
    <w:rsid w:val="00714C86"/>
    <w:rsid w:val="00716ECC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493F"/>
    <w:rsid w:val="007764F8"/>
    <w:rsid w:val="0077703D"/>
    <w:rsid w:val="007774B7"/>
    <w:rsid w:val="0078473F"/>
    <w:rsid w:val="007915D9"/>
    <w:rsid w:val="007A6BEF"/>
    <w:rsid w:val="007B4919"/>
    <w:rsid w:val="007B5C9F"/>
    <w:rsid w:val="007B6882"/>
    <w:rsid w:val="007D0662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48D"/>
    <w:rsid w:val="0084468B"/>
    <w:rsid w:val="008451B7"/>
    <w:rsid w:val="00846B0A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747C"/>
    <w:rsid w:val="008716F5"/>
    <w:rsid w:val="00872FCB"/>
    <w:rsid w:val="00875780"/>
    <w:rsid w:val="00880B8A"/>
    <w:rsid w:val="00880BA3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D7F25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377DF"/>
    <w:rsid w:val="009432B5"/>
    <w:rsid w:val="00947E2C"/>
    <w:rsid w:val="009508DF"/>
    <w:rsid w:val="009547A4"/>
    <w:rsid w:val="00964172"/>
    <w:rsid w:val="009648E7"/>
    <w:rsid w:val="00967469"/>
    <w:rsid w:val="00970FC9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4AAA"/>
    <w:rsid w:val="009F1734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0C4B"/>
    <w:rsid w:val="00A422B3"/>
    <w:rsid w:val="00A456F6"/>
    <w:rsid w:val="00A47955"/>
    <w:rsid w:val="00A50E98"/>
    <w:rsid w:val="00A50F21"/>
    <w:rsid w:val="00A51213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2462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116B"/>
    <w:rsid w:val="00B2343A"/>
    <w:rsid w:val="00B24643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72628"/>
    <w:rsid w:val="00B8386F"/>
    <w:rsid w:val="00B84E4D"/>
    <w:rsid w:val="00B86380"/>
    <w:rsid w:val="00B90AD0"/>
    <w:rsid w:val="00B90C14"/>
    <w:rsid w:val="00B92579"/>
    <w:rsid w:val="00B92E8E"/>
    <w:rsid w:val="00BA2FA0"/>
    <w:rsid w:val="00BA4177"/>
    <w:rsid w:val="00BA7F6C"/>
    <w:rsid w:val="00BB10D9"/>
    <w:rsid w:val="00BB1BD2"/>
    <w:rsid w:val="00BB2D55"/>
    <w:rsid w:val="00BB524F"/>
    <w:rsid w:val="00BC0CE9"/>
    <w:rsid w:val="00BC26CD"/>
    <w:rsid w:val="00BC3943"/>
    <w:rsid w:val="00BC3AEE"/>
    <w:rsid w:val="00BC4161"/>
    <w:rsid w:val="00BC4F7F"/>
    <w:rsid w:val="00BC779C"/>
    <w:rsid w:val="00BD4B09"/>
    <w:rsid w:val="00BD660B"/>
    <w:rsid w:val="00BF3CEF"/>
    <w:rsid w:val="00BF65CB"/>
    <w:rsid w:val="00BF6608"/>
    <w:rsid w:val="00BF6966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43BA"/>
    <w:rsid w:val="00C24571"/>
    <w:rsid w:val="00C24728"/>
    <w:rsid w:val="00C24DB7"/>
    <w:rsid w:val="00C41974"/>
    <w:rsid w:val="00C51D32"/>
    <w:rsid w:val="00C53125"/>
    <w:rsid w:val="00C55E37"/>
    <w:rsid w:val="00C56C69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2B42"/>
    <w:rsid w:val="00CC43A7"/>
    <w:rsid w:val="00CC70CD"/>
    <w:rsid w:val="00CD0452"/>
    <w:rsid w:val="00CD1DCB"/>
    <w:rsid w:val="00CE0A47"/>
    <w:rsid w:val="00CE4D4A"/>
    <w:rsid w:val="00CE6A2F"/>
    <w:rsid w:val="00CE73F1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0735F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83135"/>
    <w:rsid w:val="00D9137F"/>
    <w:rsid w:val="00DA217C"/>
    <w:rsid w:val="00DA2517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F1877"/>
    <w:rsid w:val="00DF531C"/>
    <w:rsid w:val="00DF6E54"/>
    <w:rsid w:val="00E05371"/>
    <w:rsid w:val="00E128DD"/>
    <w:rsid w:val="00E13082"/>
    <w:rsid w:val="00E20C30"/>
    <w:rsid w:val="00E2309C"/>
    <w:rsid w:val="00E26ACF"/>
    <w:rsid w:val="00E30555"/>
    <w:rsid w:val="00E32704"/>
    <w:rsid w:val="00E36620"/>
    <w:rsid w:val="00E36B3F"/>
    <w:rsid w:val="00E40674"/>
    <w:rsid w:val="00E40E70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76AFA"/>
    <w:rsid w:val="00E83FC7"/>
    <w:rsid w:val="00E916D7"/>
    <w:rsid w:val="00E967CB"/>
    <w:rsid w:val="00EA3852"/>
    <w:rsid w:val="00EA570F"/>
    <w:rsid w:val="00EA72CD"/>
    <w:rsid w:val="00EB5F3F"/>
    <w:rsid w:val="00EB792D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E5963"/>
    <w:rsid w:val="00EF03FB"/>
    <w:rsid w:val="00EF06B5"/>
    <w:rsid w:val="00EF3766"/>
    <w:rsid w:val="00EF55C2"/>
    <w:rsid w:val="00F02961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71B44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C64CF"/>
    <w:rsid w:val="00FD0D6C"/>
    <w:rsid w:val="00FD77E9"/>
    <w:rsid w:val="00FE3758"/>
    <w:rsid w:val="00FE680C"/>
    <w:rsid w:val="00FF18B7"/>
    <w:rsid w:val="00FF2034"/>
    <w:rsid w:val="00FF4242"/>
    <w:rsid w:val="00FF4468"/>
    <w:rsid w:val="00FF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5BC7A-E554-4FEA-B002-1007E0E4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3830</Words>
  <Characters>24613</Characters>
  <Application>Microsoft Office Word</Application>
  <DocSecurity>0</DocSecurity>
  <Lines>205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28387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2024-10-29T07:07:00Z</dcterms:created>
  <dcterms:modified xsi:type="dcterms:W3CDTF">2024-10-29T07:07:00Z</dcterms:modified>
</cp:coreProperties>
</file>