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0D1" w:rsidRDefault="00BB40D1" w:rsidP="00D1784A">
      <w:pPr>
        <w:rPr>
          <w:b/>
          <w:color w:val="000000"/>
          <w:spacing w:val="-3"/>
          <w:sz w:val="24"/>
          <w:szCs w:val="24"/>
        </w:rPr>
      </w:pPr>
      <w:bookmarkStart w:id="0" w:name="_GoBack"/>
      <w:bookmarkEnd w:id="0"/>
      <w:r>
        <w:rPr>
          <w:b/>
          <w:color w:val="000000"/>
          <w:spacing w:val="-3"/>
          <w:sz w:val="24"/>
          <w:szCs w:val="24"/>
        </w:rPr>
        <w:t>Załącznik A do SWZ</w:t>
      </w:r>
    </w:p>
    <w:p w:rsidR="00D1784A" w:rsidRPr="004F77C6" w:rsidRDefault="00D1784A" w:rsidP="00D1784A">
      <w:pPr>
        <w:rPr>
          <w:b/>
          <w:color w:val="000000"/>
          <w:spacing w:val="-3"/>
          <w:sz w:val="24"/>
          <w:szCs w:val="24"/>
        </w:rPr>
      </w:pPr>
      <w:r w:rsidRPr="004F77C6">
        <w:rPr>
          <w:b/>
          <w:color w:val="000000"/>
          <w:spacing w:val="-3"/>
          <w:sz w:val="24"/>
          <w:szCs w:val="24"/>
        </w:rPr>
        <w:t>Opis przedmiotu zamówienia</w:t>
      </w:r>
    </w:p>
    <w:p w:rsidR="00D1784A" w:rsidRPr="00D1784A" w:rsidRDefault="00D1784A" w:rsidP="00D1784A">
      <w:pPr>
        <w:pStyle w:val="Textbody"/>
        <w:ind w:left="363"/>
      </w:pPr>
    </w:p>
    <w:p w:rsidR="00D1784A" w:rsidRPr="00D1784A" w:rsidRDefault="00D1784A" w:rsidP="00D1784A">
      <w:pPr>
        <w:pStyle w:val="Textbody"/>
        <w:numPr>
          <w:ilvl w:val="0"/>
          <w:numId w:val="2"/>
        </w:numPr>
      </w:pPr>
      <w:r w:rsidRPr="00D1784A">
        <w:rPr>
          <w:color w:val="000000"/>
          <w:spacing w:val="-3"/>
          <w:sz w:val="22"/>
          <w:szCs w:val="22"/>
        </w:rPr>
        <w:t xml:space="preserve">Przedmiotem zamówienia </w:t>
      </w:r>
      <w:r w:rsidRPr="00D1784A">
        <w:rPr>
          <w:rFonts w:cs="Garamond"/>
          <w:color w:val="000000"/>
          <w:spacing w:val="-2"/>
          <w:sz w:val="22"/>
          <w:szCs w:val="22"/>
        </w:rPr>
        <w:t>jest Kompleksowy odłów i transport zwierząt wolno żyjących nie podlegających ochronie w 2025 roku na terenie powiatu chrzanowskiego”.</w:t>
      </w:r>
    </w:p>
    <w:p w:rsidR="00D1784A" w:rsidRPr="00D1784A" w:rsidRDefault="00D1784A" w:rsidP="00D1784A">
      <w:pPr>
        <w:pStyle w:val="Textbody"/>
        <w:numPr>
          <w:ilvl w:val="0"/>
          <w:numId w:val="1"/>
        </w:numPr>
      </w:pPr>
      <w:r w:rsidRPr="00D1784A">
        <w:t>Realizacja przedmiotu zamówienia obejmuje:</w:t>
      </w:r>
    </w:p>
    <w:p w:rsidR="00D1784A" w:rsidRPr="00D1784A" w:rsidRDefault="00D1784A" w:rsidP="00D1784A">
      <w:pPr>
        <w:pStyle w:val="Textbody"/>
        <w:numPr>
          <w:ilvl w:val="1"/>
          <w:numId w:val="1"/>
        </w:numPr>
        <w:ind w:left="567" w:hanging="283"/>
      </w:pPr>
      <w:r w:rsidRPr="00D1784A">
        <w:t>całodobową gotowość do podjęcia interwencji w miejscu zdarzenia,</w:t>
      </w:r>
    </w:p>
    <w:p w:rsidR="00D1784A" w:rsidRPr="00D1784A" w:rsidRDefault="00D1784A" w:rsidP="00D1784A">
      <w:pPr>
        <w:pStyle w:val="Textbody"/>
        <w:numPr>
          <w:ilvl w:val="1"/>
          <w:numId w:val="1"/>
        </w:numPr>
        <w:ind w:left="567" w:hanging="283"/>
      </w:pPr>
      <w:r w:rsidRPr="00D1784A">
        <w:t>przybycie na miejsce zdarzenia w czasie n</w:t>
      </w:r>
      <w:r>
        <w:t>ie dłuższym niż 90</w:t>
      </w:r>
      <w:r w:rsidRPr="00D1784A">
        <w:t xml:space="preserve"> godzina od chwili otrzymania </w:t>
      </w:r>
      <w:r>
        <w:t>wezwania,</w:t>
      </w:r>
    </w:p>
    <w:p w:rsidR="00D1784A" w:rsidRPr="00D1784A" w:rsidRDefault="00D1784A" w:rsidP="00D1784A">
      <w:pPr>
        <w:pStyle w:val="Textbody"/>
        <w:numPr>
          <w:ilvl w:val="1"/>
          <w:numId w:val="1"/>
        </w:numPr>
        <w:ind w:left="567" w:hanging="283"/>
      </w:pPr>
      <w:r w:rsidRPr="00D1784A">
        <w:t>interwencyjne wyłapywanie i przewóz zabłąkanych i rannych zwierząt przy użyciu urządzeń (chwytaków, klatek) i środków transportu tj. samochodów przystosowanych do przewozu zwierząt w sposób humanitarny, niepowodujący cierpień zwierząt oraz zgodnie z wymogami określonymi w ustawie z dnia 21 sierpnia 1997 r. o ochronie zwierząt (</w:t>
      </w:r>
      <w:proofErr w:type="spellStart"/>
      <w:r w:rsidRPr="00D1784A">
        <w:t>t.j</w:t>
      </w:r>
      <w:proofErr w:type="spellEnd"/>
      <w:r w:rsidRPr="00D1784A">
        <w:t>. Dz. U. z 2023 r. poz. 1580),</w:t>
      </w:r>
    </w:p>
    <w:p w:rsidR="00D1784A" w:rsidRPr="00D1784A" w:rsidRDefault="00D1784A" w:rsidP="00D1784A">
      <w:pPr>
        <w:pStyle w:val="Textbody"/>
        <w:numPr>
          <w:ilvl w:val="1"/>
          <w:numId w:val="1"/>
        </w:numPr>
        <w:ind w:left="567" w:hanging="283"/>
      </w:pPr>
      <w:r w:rsidRPr="00D1784A">
        <w:t>zapewnienie transportu zwierząt wolno żyjących (dzikich) zgodnie z przepisami rozporządzenia WE w sprawie ochrony zwierząt podczas transportu i związanych z tym działań oraz zmieniające dyrektywy 64/432/EWG i 93/119/WE oraz rozporządzenie (WE) nr 1255/97,</w:t>
      </w:r>
    </w:p>
    <w:p w:rsidR="00D1784A" w:rsidRPr="00D1784A" w:rsidRDefault="00D1784A" w:rsidP="00D1784A">
      <w:pPr>
        <w:pStyle w:val="Textbody"/>
        <w:numPr>
          <w:ilvl w:val="1"/>
          <w:numId w:val="1"/>
        </w:numPr>
        <w:ind w:left="567" w:hanging="283"/>
      </w:pPr>
      <w:r w:rsidRPr="00D1784A">
        <w:t>wyłapywanie zabłąkanych zwierząt wolno żyjących (dzikich), przewożenie</w:t>
      </w:r>
      <w:r w:rsidRPr="00D1784A">
        <w:br/>
        <w:t>ich i wypuszczanie do naturalnego środowiska,</w:t>
      </w:r>
    </w:p>
    <w:p w:rsidR="00D1784A" w:rsidRPr="00D1784A" w:rsidRDefault="00D1784A" w:rsidP="00D1784A">
      <w:pPr>
        <w:pStyle w:val="Textbody"/>
        <w:numPr>
          <w:ilvl w:val="1"/>
          <w:numId w:val="1"/>
        </w:numPr>
      </w:pPr>
      <w:r w:rsidRPr="00D1784A">
        <w:t>zapewnienie nadzoru lekarza weterynarii w celu podejmowania w każdym czasie wszelkich niezbędnych czynności w celu zabezpieczenia zwierzęcia przed zagrożeniem dla jego życia, oceny stanu zdrowia zwierzęcia oraz dalszego trybu postępowania, w tym w przypadkach koniecznych uśmiercanie zwierząt i ich utylizację</w:t>
      </w:r>
      <w:r>
        <w:t>,</w:t>
      </w:r>
    </w:p>
    <w:p w:rsidR="00D1784A" w:rsidRDefault="00D1784A" w:rsidP="00D1784A">
      <w:pPr>
        <w:pStyle w:val="Textbody"/>
        <w:numPr>
          <w:ilvl w:val="1"/>
          <w:numId w:val="1"/>
        </w:numPr>
        <w:ind w:left="567" w:hanging="283"/>
      </w:pPr>
      <w:r w:rsidRPr="00D1784A">
        <w:t>transport zwierząt wolno żyjących (dzikich), poszkodowanych (np. rannych, osieroconych) do ośrodka rehabilitacji zwierząt, z którym Wykonawca ma podpisaną umowę</w:t>
      </w:r>
      <w:r>
        <w:t>, lub go prowadzi,</w:t>
      </w:r>
      <w:r w:rsidRPr="00D1784A">
        <w:t xml:space="preserve"> lub inny dokument potwierdzający możliwość przekazania zwierząt wolno żyjących (dzikich) do ośrodka rehabilitacji zwierząt (w przypadku stwierdzenia takiej potrzeby przez lekarza weterynarii), przy czym minimalny zakres działalności ośrodka musi dotyczyć możliwości przyjęcia ptaków i ssaków.</w:t>
      </w:r>
    </w:p>
    <w:p w:rsidR="00D1784A" w:rsidRPr="00D1784A" w:rsidRDefault="00D1784A" w:rsidP="00D1784A">
      <w:pPr>
        <w:pStyle w:val="Textbody"/>
        <w:numPr>
          <w:ilvl w:val="1"/>
          <w:numId w:val="1"/>
        </w:numPr>
        <w:ind w:left="567"/>
      </w:pPr>
      <w:r w:rsidRPr="00D1784A">
        <w:t>Zapewnienie zbierania, transportu, unieszkodliwiania zwłok zwierząt wolno żyjących, nie podlegających ochronie gatunkowej</w:t>
      </w:r>
    </w:p>
    <w:p w:rsidR="00D1784A" w:rsidRPr="00D1784A" w:rsidRDefault="00D1784A" w:rsidP="00D1784A">
      <w:pPr>
        <w:pStyle w:val="Textbody"/>
        <w:numPr>
          <w:ilvl w:val="0"/>
          <w:numId w:val="1"/>
        </w:numPr>
      </w:pPr>
      <w:r w:rsidRPr="00D1784A">
        <w:t>Usługi, o których mowa w ust.1, będą świadczone przez Wykonawcę na podstawie zleceń telefonicznych lub ustnych dokonywanych przez:</w:t>
      </w:r>
    </w:p>
    <w:p w:rsidR="00D1784A" w:rsidRDefault="00D1784A" w:rsidP="00D1784A">
      <w:pPr>
        <w:pStyle w:val="Textbody"/>
        <w:numPr>
          <w:ilvl w:val="1"/>
          <w:numId w:val="1"/>
        </w:numPr>
        <w:rPr>
          <w:b/>
          <w:color w:val="000000" w:themeColor="text1"/>
          <w:sz w:val="28"/>
          <w:szCs w:val="28"/>
        </w:rPr>
      </w:pPr>
      <w:r w:rsidRPr="00D1784A">
        <w:t xml:space="preserve">pracownika </w:t>
      </w:r>
      <w:r>
        <w:t>Powiatowego Centrum Zarządzania Kryzysowego w Chrzanowie</w:t>
      </w:r>
    </w:p>
    <w:p w:rsidR="00BF3317" w:rsidRDefault="00BF3317"/>
    <w:sectPr w:rsidR="00BF3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altName w:val="Calibri"/>
    <w:charset w:val="00"/>
    <w:family w:val="modern"/>
    <w:pitch w:val="variable"/>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304A0"/>
    <w:multiLevelType w:val="multilevel"/>
    <w:tmpl w:val="46940596"/>
    <w:styleLink w:val="Numbering123"/>
    <w:lvl w:ilvl="0">
      <w:start w:val="1"/>
      <w:numFmt w:val="decimal"/>
      <w:lvlText w:val="%1."/>
      <w:lvlJc w:val="left"/>
      <w:pPr>
        <w:ind w:left="363" w:hanging="363"/>
      </w:pPr>
      <w:rPr>
        <w:rFonts w:ascii="Titillium" w:eastAsia="Titillium" w:hAnsi="Titillium" w:cs="Titillium"/>
        <w:b w:val="0"/>
        <w:bCs w:val="0"/>
        <w:i w:val="0"/>
        <w:iCs w:val="0"/>
        <w:color w:val="000000"/>
        <w:sz w:val="22"/>
        <w:szCs w:val="22"/>
      </w:rPr>
    </w:lvl>
    <w:lvl w:ilvl="1">
      <w:start w:val="1"/>
      <w:numFmt w:val="decimal"/>
      <w:lvlText w:val="%2)"/>
      <w:lvlJc w:val="left"/>
      <w:pPr>
        <w:ind w:left="720" w:hanging="357"/>
      </w:pPr>
      <w:rPr>
        <w:rFonts w:ascii="Titillium" w:hAnsi="Titillium"/>
        <w:b w:val="0"/>
        <w:bCs w:val="0"/>
        <w:i w:val="0"/>
        <w:iCs w:val="0"/>
        <w:color w:val="000000"/>
        <w:sz w:val="22"/>
        <w:szCs w:val="22"/>
      </w:rPr>
    </w:lvl>
    <w:lvl w:ilvl="2">
      <w:start w:val="1"/>
      <w:numFmt w:val="lowerLetter"/>
      <w:lvlText w:val="%3)"/>
      <w:lvlJc w:val="left"/>
      <w:pPr>
        <w:ind w:left="1440" w:hanging="357"/>
      </w:pPr>
      <w:rPr>
        <w:rFonts w:ascii="Titillium" w:eastAsia="Titillium" w:hAnsi="Titillium" w:cs="Titillium"/>
        <w:b w:val="0"/>
        <w:bCs w:val="0"/>
        <w:i w:val="0"/>
        <w:iCs w:val="0"/>
        <w:color w:val="000000"/>
        <w:sz w:val="22"/>
        <w:szCs w:val="22"/>
      </w:rPr>
    </w:lvl>
    <w:lvl w:ilvl="3">
      <w:numFmt w:val="bullet"/>
      <w:lvlText w:val="•"/>
      <w:lvlJc w:val="left"/>
      <w:pPr>
        <w:ind w:left="1945" w:hanging="397"/>
      </w:pPr>
      <w:rPr>
        <w:rFonts w:ascii="OpenSymbol" w:eastAsia="OpenSymbol" w:hAnsi="OpenSymbol" w:cs="OpenSymbol"/>
      </w:rPr>
    </w:lvl>
    <w:lvl w:ilvl="4">
      <w:start w:val="1"/>
      <w:numFmt w:val="decimal"/>
      <w:lvlText w:val="%5."/>
      <w:lvlJc w:val="left"/>
      <w:pPr>
        <w:ind w:left="2342" w:hanging="397"/>
      </w:pPr>
      <w:rPr>
        <w:rFonts w:ascii="Titillium" w:hAnsi="Titillium"/>
        <w:b w:val="0"/>
        <w:bCs w:val="0"/>
        <w:i w:val="0"/>
        <w:iCs w:val="0"/>
        <w:color w:val="000000"/>
        <w:sz w:val="20"/>
        <w:szCs w:val="20"/>
      </w:rPr>
    </w:lvl>
    <w:lvl w:ilvl="5">
      <w:start w:val="1"/>
      <w:numFmt w:val="decimal"/>
      <w:lvlText w:val="%6."/>
      <w:lvlJc w:val="left"/>
      <w:pPr>
        <w:ind w:left="2738" w:hanging="397"/>
      </w:pPr>
      <w:rPr>
        <w:rFonts w:ascii="Titillium" w:hAnsi="Titillium"/>
        <w:b w:val="0"/>
        <w:bCs w:val="0"/>
        <w:i w:val="0"/>
        <w:iCs w:val="0"/>
        <w:color w:val="000000"/>
        <w:sz w:val="20"/>
        <w:szCs w:val="20"/>
      </w:rPr>
    </w:lvl>
    <w:lvl w:ilvl="6">
      <w:start w:val="1"/>
      <w:numFmt w:val="decimal"/>
      <w:lvlText w:val="%7."/>
      <w:lvlJc w:val="left"/>
      <w:pPr>
        <w:ind w:left="3135" w:hanging="397"/>
      </w:pPr>
      <w:rPr>
        <w:rFonts w:ascii="Titillium" w:hAnsi="Titillium"/>
        <w:b w:val="0"/>
        <w:bCs w:val="0"/>
        <w:i w:val="0"/>
        <w:iCs w:val="0"/>
        <w:color w:val="000000"/>
        <w:sz w:val="20"/>
        <w:szCs w:val="20"/>
      </w:rPr>
    </w:lvl>
    <w:lvl w:ilvl="7">
      <w:start w:val="1"/>
      <w:numFmt w:val="decimal"/>
      <w:lvlText w:val="%8."/>
      <w:lvlJc w:val="left"/>
      <w:pPr>
        <w:ind w:left="3532" w:hanging="397"/>
      </w:pPr>
      <w:rPr>
        <w:rFonts w:ascii="Titillium" w:hAnsi="Titillium"/>
        <w:b w:val="0"/>
        <w:bCs w:val="0"/>
        <w:i w:val="0"/>
        <w:iCs w:val="0"/>
        <w:color w:val="000000"/>
        <w:sz w:val="20"/>
        <w:szCs w:val="20"/>
      </w:rPr>
    </w:lvl>
    <w:lvl w:ilvl="8">
      <w:start w:val="1"/>
      <w:numFmt w:val="decimal"/>
      <w:lvlText w:val="%9."/>
      <w:lvlJc w:val="left"/>
      <w:pPr>
        <w:ind w:left="3929" w:hanging="397"/>
      </w:pPr>
      <w:rPr>
        <w:rFonts w:ascii="Titillium" w:hAnsi="Titillium"/>
        <w:b w:val="0"/>
        <w:bCs w:val="0"/>
        <w:i w:val="0"/>
        <w:iCs w:val="0"/>
        <w:color w:val="000000"/>
        <w:sz w:val="20"/>
        <w:szCs w:val="20"/>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F8"/>
    <w:rsid w:val="004F77C6"/>
    <w:rsid w:val="007C42F8"/>
    <w:rsid w:val="00BB40D1"/>
    <w:rsid w:val="00BF3317"/>
    <w:rsid w:val="00C96900"/>
    <w:rsid w:val="00D17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FF15C-7104-482D-BC97-DC9E93CF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784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D1784A"/>
    <w:pPr>
      <w:suppressAutoHyphens/>
      <w:autoSpaceDN w:val="0"/>
      <w:spacing w:after="0" w:line="240" w:lineRule="auto"/>
      <w:jc w:val="both"/>
      <w:textAlignment w:val="baseline"/>
    </w:pPr>
    <w:rPr>
      <w:rFonts w:ascii="Titillium" w:eastAsia="Titillium" w:hAnsi="Titillium" w:cs="Titillium"/>
      <w:kern w:val="3"/>
      <w:sz w:val="24"/>
      <w:szCs w:val="20"/>
      <w:lang w:eastAsia="zh-CN"/>
    </w:rPr>
  </w:style>
  <w:style w:type="numbering" w:customStyle="1" w:styleId="Numbering123">
    <w:name w:val="Numbering 123"/>
    <w:basedOn w:val="Bezlisty"/>
    <w:rsid w:val="00D1784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1931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JAŚKO</dc:creator>
  <cp:keywords/>
  <dc:description/>
  <cp:lastModifiedBy>EWELINA PORĘBSKA</cp:lastModifiedBy>
  <cp:revision>2</cp:revision>
  <dcterms:created xsi:type="dcterms:W3CDTF">2024-11-25T14:02:00Z</dcterms:created>
  <dcterms:modified xsi:type="dcterms:W3CDTF">2024-11-25T14:02:00Z</dcterms:modified>
</cp:coreProperties>
</file>