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EB" w:rsidRPr="00F35EAB" w:rsidRDefault="002854EB" w:rsidP="002854EB">
      <w:pPr>
        <w:spacing w:after="0"/>
        <w:jc w:val="both"/>
        <w:rPr>
          <w:rFonts w:ascii="Garamond" w:hAnsi="Garamond"/>
          <w:color w:val="000000" w:themeColor="text1"/>
        </w:rPr>
      </w:pPr>
      <w:r w:rsidRPr="00F35EAB">
        <w:rPr>
          <w:rFonts w:ascii="Garamond" w:hAnsi="Garamond"/>
          <w:color w:val="000000" w:themeColor="text1"/>
        </w:rPr>
        <w:t>Nr sprawy: DFP.271.62.2022.LS</w:t>
      </w:r>
      <w:r w:rsidRPr="00F35EAB">
        <w:rPr>
          <w:rFonts w:ascii="Garamond" w:hAnsi="Garamond"/>
          <w:color w:val="000000" w:themeColor="text1"/>
        </w:rPr>
        <w:tab/>
      </w:r>
      <w:r w:rsidRPr="00F35EAB">
        <w:rPr>
          <w:rFonts w:ascii="Garamond" w:hAnsi="Garamond"/>
          <w:color w:val="000000" w:themeColor="text1"/>
        </w:rPr>
        <w:tab/>
      </w:r>
      <w:r w:rsidRPr="00F35EAB">
        <w:rPr>
          <w:rFonts w:ascii="Garamond" w:hAnsi="Garamond"/>
          <w:color w:val="000000" w:themeColor="text1"/>
        </w:rPr>
        <w:tab/>
      </w:r>
      <w:r w:rsidRPr="00F35EAB">
        <w:rPr>
          <w:rFonts w:ascii="Garamond" w:hAnsi="Garamond"/>
          <w:color w:val="000000" w:themeColor="text1"/>
        </w:rPr>
        <w:tab/>
      </w:r>
      <w:r w:rsidRPr="00F35EAB">
        <w:rPr>
          <w:rFonts w:ascii="Garamond" w:hAnsi="Garamond"/>
          <w:color w:val="000000" w:themeColor="text1"/>
        </w:rPr>
        <w:tab/>
      </w:r>
      <w:r w:rsidRPr="00F35EAB">
        <w:rPr>
          <w:rFonts w:ascii="Garamond" w:hAnsi="Garamond"/>
          <w:color w:val="000000" w:themeColor="text1"/>
        </w:rPr>
        <w:tab/>
        <w:t xml:space="preserve">       Kraków, dnia 07.06.2022 r.</w:t>
      </w:r>
    </w:p>
    <w:p w:rsidR="002854EB" w:rsidRPr="00F35EAB" w:rsidRDefault="002854EB" w:rsidP="002854EB">
      <w:pPr>
        <w:spacing w:after="0"/>
        <w:jc w:val="both"/>
        <w:rPr>
          <w:rFonts w:ascii="Garamond" w:hAnsi="Garamond"/>
          <w:i/>
          <w:color w:val="000000" w:themeColor="text1"/>
        </w:rPr>
      </w:pPr>
    </w:p>
    <w:p w:rsidR="002854EB" w:rsidRPr="00F35EAB" w:rsidRDefault="002854EB" w:rsidP="002854EB">
      <w:pPr>
        <w:spacing w:after="0"/>
        <w:jc w:val="both"/>
        <w:rPr>
          <w:rFonts w:ascii="Garamond" w:hAnsi="Garamond"/>
          <w:i/>
          <w:color w:val="000000" w:themeColor="text1"/>
        </w:rPr>
      </w:pPr>
    </w:p>
    <w:p w:rsidR="002854EB" w:rsidRPr="00F35EAB" w:rsidRDefault="002854EB" w:rsidP="002854EB">
      <w:pPr>
        <w:spacing w:after="0"/>
        <w:ind w:left="2832"/>
        <w:jc w:val="right"/>
        <w:rPr>
          <w:rFonts w:ascii="Garamond" w:hAnsi="Garamond"/>
          <w:b/>
          <w:bCs/>
          <w:color w:val="000000" w:themeColor="text1"/>
          <w:u w:val="single"/>
        </w:rPr>
      </w:pPr>
      <w:r w:rsidRPr="00F35EAB">
        <w:rPr>
          <w:rFonts w:ascii="Garamond" w:hAnsi="Garamond"/>
          <w:b/>
          <w:bCs/>
          <w:color w:val="000000" w:themeColor="text1"/>
          <w:u w:val="single"/>
        </w:rPr>
        <w:t>Do wszystkich Wykonawców biorących udział w postępowaniu</w:t>
      </w:r>
    </w:p>
    <w:p w:rsidR="002854EB" w:rsidRPr="00F35EAB" w:rsidRDefault="002854EB" w:rsidP="002854EB">
      <w:pPr>
        <w:spacing w:after="0"/>
        <w:ind w:left="2832"/>
        <w:jc w:val="both"/>
        <w:rPr>
          <w:rFonts w:ascii="Garamond" w:hAnsi="Garamond"/>
          <w:b/>
          <w:i/>
          <w:color w:val="000000" w:themeColor="text1"/>
        </w:rPr>
      </w:pPr>
    </w:p>
    <w:p w:rsidR="002854EB" w:rsidRPr="00F35EAB" w:rsidRDefault="002854EB" w:rsidP="002854EB">
      <w:pPr>
        <w:spacing w:after="0"/>
        <w:jc w:val="both"/>
        <w:rPr>
          <w:rFonts w:ascii="Garamond" w:hAnsi="Garamond"/>
          <w:i/>
          <w:color w:val="000000" w:themeColor="text1"/>
        </w:rPr>
      </w:pPr>
    </w:p>
    <w:p w:rsidR="002854EB" w:rsidRPr="00F35EAB" w:rsidRDefault="002854EB" w:rsidP="002854EB">
      <w:pPr>
        <w:spacing w:after="0"/>
        <w:ind w:left="709" w:hanging="709"/>
        <w:jc w:val="both"/>
        <w:rPr>
          <w:rFonts w:ascii="Garamond" w:hAnsi="Garamond"/>
          <w:color w:val="000000" w:themeColor="text1"/>
        </w:rPr>
      </w:pPr>
      <w:r w:rsidRPr="00F35EAB">
        <w:rPr>
          <w:rFonts w:ascii="Garamond" w:hAnsi="Garamond"/>
          <w:color w:val="000000" w:themeColor="text1"/>
        </w:rPr>
        <w:t xml:space="preserve">Dotyczy: postępowania o udzielenie zamówienia publicznego na dostawę zestawu do </w:t>
      </w:r>
      <w:proofErr w:type="spellStart"/>
      <w:r w:rsidRPr="00F35EAB">
        <w:rPr>
          <w:rFonts w:ascii="Garamond" w:hAnsi="Garamond"/>
          <w:color w:val="000000" w:themeColor="text1"/>
        </w:rPr>
        <w:t>laryngonawigacji</w:t>
      </w:r>
      <w:proofErr w:type="spellEnd"/>
      <w:r w:rsidRPr="00F35EAB">
        <w:rPr>
          <w:rFonts w:ascii="Garamond" w:hAnsi="Garamond"/>
          <w:color w:val="000000" w:themeColor="text1"/>
        </w:rPr>
        <w:t xml:space="preserve"> dla Nowej Siedziby Szpitala Uniwersyteckiego (NSSU) wraz z instalacją, uruchomieniem i szkoleniem personelu.</w:t>
      </w:r>
    </w:p>
    <w:p w:rsidR="002854EB" w:rsidRPr="00F35EAB" w:rsidRDefault="002854EB" w:rsidP="002854EB">
      <w:pPr>
        <w:spacing w:after="0"/>
        <w:ind w:left="709" w:hanging="709"/>
        <w:jc w:val="both"/>
        <w:rPr>
          <w:rFonts w:ascii="Garamond" w:hAnsi="Garamond"/>
          <w:i/>
          <w:color w:val="000000" w:themeColor="text1"/>
        </w:rPr>
      </w:pPr>
    </w:p>
    <w:p w:rsidR="002854EB" w:rsidRPr="00F35EAB" w:rsidRDefault="002854EB" w:rsidP="002854EB">
      <w:pPr>
        <w:spacing w:after="0"/>
        <w:ind w:left="709" w:hanging="709"/>
        <w:jc w:val="both"/>
        <w:rPr>
          <w:rFonts w:ascii="Garamond" w:hAnsi="Garamond"/>
          <w:color w:val="000000" w:themeColor="text1"/>
        </w:rPr>
      </w:pPr>
    </w:p>
    <w:p w:rsidR="002854EB" w:rsidRPr="00F35EAB" w:rsidRDefault="002854EB" w:rsidP="002854EB">
      <w:pPr>
        <w:spacing w:after="0"/>
        <w:ind w:firstLine="720"/>
        <w:jc w:val="both"/>
        <w:rPr>
          <w:rFonts w:ascii="Garamond" w:hAnsi="Garamond"/>
          <w:color w:val="000000" w:themeColor="text1"/>
        </w:rPr>
      </w:pPr>
      <w:r w:rsidRPr="00F35EAB">
        <w:rPr>
          <w:rFonts w:ascii="Garamond" w:hAnsi="Garamond"/>
          <w:color w:val="000000" w:themeColor="text1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zamówienia:.</w:t>
      </w:r>
    </w:p>
    <w:p w:rsidR="002854EB" w:rsidRPr="00F35EAB" w:rsidRDefault="002854EB" w:rsidP="002854EB">
      <w:pPr>
        <w:pBdr>
          <w:bottom w:val="single" w:sz="6" w:space="8" w:color="F4F4F4"/>
        </w:pBdr>
        <w:shd w:val="clear" w:color="auto" w:fill="FFFFFF"/>
        <w:spacing w:after="0" w:line="240" w:lineRule="auto"/>
        <w:ind w:right="375"/>
        <w:jc w:val="both"/>
        <w:outlineLvl w:val="2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2854EB" w:rsidRPr="00F35EAB" w:rsidRDefault="002854EB" w:rsidP="002854EB">
      <w:pPr>
        <w:numPr>
          <w:ilvl w:val="0"/>
          <w:numId w:val="8"/>
        </w:num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Czy Zamawiający dopuści zaoferowanie urządzenia o parametrach podanych poniżej ?</w:t>
      </w: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Dotyczy wszystkich pozycji/parametrów:</w:t>
      </w: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5"/>
        <w:gridCol w:w="37"/>
      </w:tblGrid>
      <w:tr w:rsidR="00F35EAB" w:rsidRPr="00F35EAB" w:rsidTr="0091261C">
        <w:trPr>
          <w:gridAfter w:val="1"/>
          <w:wAfter w:w="38" w:type="dxa"/>
        </w:trPr>
        <w:tc>
          <w:tcPr>
            <w:tcW w:w="9217" w:type="dxa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Monitor dotykowy wielkości 24 cali o rozdzielczości 2560 X 1440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dpi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, 60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Hz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- 1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szt</w:t>
            </w:r>
            <w:proofErr w:type="spellEnd"/>
          </w:p>
        </w:tc>
      </w:tr>
      <w:tr w:rsidR="00F35EAB" w:rsidRPr="00F35EAB" w:rsidTr="0091261C">
        <w:trPr>
          <w:gridAfter w:val="1"/>
          <w:wAfter w:w="38" w:type="dxa"/>
        </w:trPr>
        <w:tc>
          <w:tcPr>
            <w:tcW w:w="9217" w:type="dxa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Moduł elektromagnetyczny z możliwością podłączenia co najmniej 6 narzędzi, możliwość montażu modułu na szynie stołu operacyjnego</w:t>
            </w:r>
          </w:p>
        </w:tc>
      </w:tr>
      <w:tr w:rsidR="00F35EAB" w:rsidRPr="00F35EAB" w:rsidTr="0091261C">
        <w:trPr>
          <w:gridAfter w:val="1"/>
          <w:wAfter w:w="38" w:type="dxa"/>
        </w:trPr>
        <w:tc>
          <w:tcPr>
            <w:tcW w:w="9217" w:type="dxa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Możliwość podłączenia dwóch rodzajów emiterów pola elektromagnetycznego: emiter z opcją ustawienia bocznego oraz emiter z opcja ustawienia pod głową pacjenta</w:t>
            </w:r>
          </w:p>
        </w:tc>
      </w:tr>
      <w:tr w:rsidR="00F35EAB" w:rsidRPr="00F35EAB" w:rsidTr="0091261C">
        <w:trPr>
          <w:gridAfter w:val="1"/>
          <w:wAfter w:w="38" w:type="dxa"/>
        </w:trPr>
        <w:tc>
          <w:tcPr>
            <w:tcW w:w="9217" w:type="dxa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Komputer sterujący z systemem operacyjnym Linux Zaprogramowanie procedury m.in:</w:t>
            </w:r>
          </w:p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-</w:t>
            </w: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ab/>
              <w:t>FESS</w:t>
            </w:r>
          </w:p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-</w:t>
            </w: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ab/>
              <w:t>endoskopowa podstawa czaszki</w:t>
            </w:r>
          </w:p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-</w:t>
            </w: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ab/>
              <w:t>boczna podstawa czaszki</w:t>
            </w:r>
          </w:p>
        </w:tc>
      </w:tr>
      <w:tr w:rsidR="00F35EAB" w:rsidRPr="00F35EAB" w:rsidTr="0091261C">
        <w:trPr>
          <w:gridAfter w:val="1"/>
          <w:wAfter w:w="38" w:type="dxa"/>
        </w:trPr>
        <w:tc>
          <w:tcPr>
            <w:tcW w:w="9217" w:type="dxa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Rozwiązanie zapewniające chir</w:t>
            </w:r>
            <w:bookmarkStart w:id="0" w:name="_GoBack"/>
            <w:bookmarkEnd w:id="0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urgowi możliwość sterowania systemem w jałowym polu operacyjnym. Przyciski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next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i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back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zintegrowane z lokalizatorem pacjenta sterowane za pomocą wskaźnika rejestrującego</w:t>
            </w:r>
          </w:p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</w:p>
        </w:tc>
      </w:tr>
      <w:tr w:rsidR="00F35EAB" w:rsidRPr="00F35EAB" w:rsidTr="0091261C">
        <w:trPr>
          <w:gridAfter w:val="1"/>
          <w:wAfter w:w="38" w:type="dxa"/>
        </w:trPr>
        <w:tc>
          <w:tcPr>
            <w:tcW w:w="9217" w:type="dxa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System pozwala na wysyłanie sygnału wideo na zewnętrzny odbiornik np. monitor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Oprogramowanie urządzenia kompatybilne z obrazami CT, MR w formacie DICOM – nośnik USB,CD, sieć szpitalna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Automatyczna fuzja obrazów diagnostycznych z możliwością korekty manualnej – powyżej dwóch serii obrazowych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Weryfikacja fuzji przy pomocy minimum dwóch metod :</w:t>
            </w:r>
          </w:p>
          <w:p w:rsidR="002854EB" w:rsidRPr="00F35EAB" w:rsidRDefault="002854EB" w:rsidP="002854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40"/>
              </w:tabs>
              <w:spacing w:after="0" w:line="240" w:lineRule="auto"/>
              <w:ind w:right="375" w:hanging="133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przezroczystość obrazu</w:t>
            </w:r>
          </w:p>
          <w:p w:rsidR="002854EB" w:rsidRPr="00F35EAB" w:rsidRDefault="002854EB" w:rsidP="002854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40"/>
              </w:tabs>
              <w:spacing w:after="0" w:line="240" w:lineRule="auto"/>
              <w:ind w:right="375" w:hanging="133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porównanie dwóch obrazów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Lista pacjentów z możliwością szybkiego podglądu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Interface umożliwiający w sposób swobodny dostosowanie procedury do potrzeb użytkownika w zakresie narzędzi i profilu zabiegu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Możliwość założenia indywidualnego profilu użytkownika z przypisaniem odpowiednich procedur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System zabezpieczający przed wykonaniem zabiegu nawigacji z badaniem TK lub MR niezgodnym z protokołem obrazowania wymaganym przez urządzenie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Funkcje przestrzennych rekonstrukcji 3D zdefiniowanego obszaru oraz możliwość jego przestrzennych rotacji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lastRenderedPageBreak/>
              <w:t>Obróbka obrazu 2D, co najmniej:</w:t>
            </w:r>
          </w:p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jasność, kontrast, zoom, rotacja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Ustawienie dowolnego rozkładu okien pomiędzy 3 płaszczyznami i 3D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Pomiar odległości punktów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Zapisywanie obrazów oraz filmów – zrzutów ekranu w formie kompatybilnej z PC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Możliwość obsługi narzędzi elektromagnetycznych, elastycznych, giętkich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Możliwość widoku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rekonstukcyjnego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3D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Centrowanie wszystkich obrazów w oknach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Informacja o rozkładzie narzędzia względem ramki referencyjnej wraz z dokładnością identyfikacji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Informacja na obrazie bieżącym widoczności narzędzia w polu operacyjnym wraz z wyświetleniem jego nazwy i kształtu.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Możliwość zaplanowania zabiegu poprzez ustawianie znaczników na strukturach anatomicznych 3D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Możliwość stworzenia planu operacyjnego poprzez wybór punktu wejścia oraz celu zabiegu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Możliwość lokalizacji guza poprzez obrysowanie odpowiednich struktur na zdjęciach MR/CT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Rejestracja pacjenta - poprzez obrys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struktór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lub/i punkty anatomiczne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Możliwość poprawienia dokładności rejestracji bez konieczności zaczynania procesu od początku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Automatyczna detekcja markerów chirurgicznych (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fiducial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Markers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)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Informacja wskazująca dokładność rejestracji oraz możliwość sprawdzenia dokładności rejestracji na badaniu CT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Możliwość weryfikacji dokładności rejestracji poprzez wskazanie punktu anatomicznego na CT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Informacja o niewłaściwym wskazaniu znacznika rejestracyjnego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Zabezpieczenie przed przypadkowym odpięciem lub przesunięciem cewki na instrumencie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Koniec narzędzia oznaczony na obrazie nawigacji w 3 płaszczyznach przy pomocy krzyżyka</w:t>
            </w:r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Wskaźnik rejestracyjny nie powodujący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zakócenia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pola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elektromagntycznego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o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geometri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określonej w systemie komputerowym, wykorzystywany do rejestracji pacjenta - 1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szt</w:t>
            </w:r>
            <w:proofErr w:type="spellEnd"/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Narzędzie specjalistyczne nie powodujące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zakóceń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pola elektromagnetycznego typu ENT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Straight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probe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z geometrią określoną w systemie komputerowym - 1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szt</w:t>
            </w:r>
            <w:proofErr w:type="spellEnd"/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Narzędzie specjalistyczne nie powodujące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zakóceń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pola elektromagnetycznego typu ENT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Ostium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probe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z geometrią określoną w systemie komputerowym - 1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szt</w:t>
            </w:r>
            <w:proofErr w:type="spellEnd"/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Ssak prosty nie powodujący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zakóceń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pola elektromagnetycznego z geometrią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okresloną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w systemie komputerowym - 1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szt</w:t>
            </w:r>
            <w:proofErr w:type="spellEnd"/>
          </w:p>
        </w:tc>
      </w:tr>
      <w:tr w:rsidR="00F35EA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Ssak zagięty 70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st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nie powodujący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zakóceń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pola elektromagnetycznego z geometrią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okresloną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w systemie komputerowym - 1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szt</w:t>
            </w:r>
            <w:proofErr w:type="spellEnd"/>
          </w:p>
        </w:tc>
      </w:tr>
      <w:tr w:rsidR="002854EB" w:rsidRPr="00F35EAB" w:rsidTr="0091261C">
        <w:tc>
          <w:tcPr>
            <w:tcW w:w="9255" w:type="dxa"/>
            <w:gridSpan w:val="2"/>
            <w:shd w:val="clear" w:color="auto" w:fill="auto"/>
          </w:tcPr>
          <w:p w:rsidR="002854EB" w:rsidRPr="00F35EAB" w:rsidRDefault="002854EB" w:rsidP="0091261C">
            <w:pPr>
              <w:shd w:val="clear" w:color="auto" w:fill="FFFFFF"/>
              <w:spacing w:after="0" w:line="240" w:lineRule="auto"/>
              <w:ind w:right="375"/>
              <w:jc w:val="both"/>
              <w:rPr>
                <w:rFonts w:ascii="Garamond" w:eastAsia="Times New Roman" w:hAnsi="Garamond" w:cs="Helvetica"/>
                <w:color w:val="000000" w:themeColor="text1"/>
                <w:lang w:eastAsia="pl-PL"/>
              </w:rPr>
            </w:pPr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Ssak zagięty 90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st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nie powodujący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zakóceń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pola elektromagnetycznego z geometrią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okresloną</w:t>
            </w:r>
            <w:proofErr w:type="spellEnd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 xml:space="preserve"> w systemie komputerowym - 1 </w:t>
            </w:r>
            <w:proofErr w:type="spellStart"/>
            <w:r w:rsidRPr="00F35EAB">
              <w:rPr>
                <w:rFonts w:ascii="Garamond" w:eastAsia="Times New Roman" w:hAnsi="Garamond" w:cs="Helvetica"/>
                <w:color w:val="000000" w:themeColor="text1"/>
                <w:lang w:eastAsia="pl-PL"/>
              </w:rPr>
              <w:t>szt</w:t>
            </w:r>
            <w:proofErr w:type="spellEnd"/>
          </w:p>
        </w:tc>
      </w:tr>
    </w:tbl>
    <w:p w:rsidR="00921418" w:rsidRPr="00F35EAB" w:rsidRDefault="00921418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b/>
          <w:bCs/>
          <w:color w:val="000000" w:themeColor="text1"/>
          <w:lang w:eastAsia="pl-PL"/>
        </w:rPr>
      </w:pP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b/>
          <w:bCs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b/>
          <w:bCs/>
          <w:color w:val="000000" w:themeColor="text1"/>
          <w:lang w:eastAsia="pl-PL"/>
        </w:rPr>
        <w:t>Odpowiedź: Zamawiający nie dopuszcza.</w:t>
      </w: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2854EB" w:rsidRPr="00F35EAB" w:rsidRDefault="002854EB" w:rsidP="002854EB">
      <w:pPr>
        <w:numPr>
          <w:ilvl w:val="0"/>
          <w:numId w:val="8"/>
        </w:num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Dotyczy Załącznika nr 1a do SWZ oraz Załącznika nr 3 (wzór umowy) § 2 Pkt. 1.1.</w:t>
      </w: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Czy Zamawiający dopuści zestaw o równorzędnych wartościach i przydatności klinicznej, o roku produkcji min. 2021?</w:t>
      </w: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b/>
          <w:bCs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b/>
          <w:bCs/>
          <w:color w:val="000000" w:themeColor="text1"/>
          <w:lang w:eastAsia="pl-PL"/>
        </w:rPr>
        <w:t>Odpowiedź: Zamawiający dopuszcza.</w:t>
      </w:r>
    </w:p>
    <w:p w:rsidR="00CE5BA0" w:rsidRPr="00F35EAB" w:rsidRDefault="00CE5BA0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2854EB" w:rsidRPr="00F35EAB" w:rsidRDefault="002854EB" w:rsidP="002854EB">
      <w:pPr>
        <w:numPr>
          <w:ilvl w:val="0"/>
          <w:numId w:val="8"/>
        </w:num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Dotyczy Załącznika nr 1a do SWZ - Pkt. 3 i 4</w:t>
      </w: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 xml:space="preserve">Czy Zamawiający dopuści zestaw realizujący rejestrację pacjenta w alternatywny sposób - przez zebranie punktów anatomicznych przy pomocy dedykowanego, wielorazowego </w:t>
      </w:r>
      <w:proofErr w:type="spellStart"/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pointer’a</w:t>
      </w:r>
      <w:proofErr w:type="spellEnd"/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, co zapewni najbardziej precyzyjne odtworzenie głębi struktur twarzowych w systemie?</w:t>
      </w: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b/>
          <w:bCs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b/>
          <w:bCs/>
          <w:color w:val="000000" w:themeColor="text1"/>
          <w:lang w:eastAsia="pl-PL"/>
        </w:rPr>
        <w:lastRenderedPageBreak/>
        <w:t>Odpowiedź: Zamawiający dopuszcza.</w:t>
      </w: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2854EB" w:rsidRPr="00F35EAB" w:rsidRDefault="002854EB" w:rsidP="002854EB">
      <w:pPr>
        <w:numPr>
          <w:ilvl w:val="0"/>
          <w:numId w:val="8"/>
        </w:num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Dotyczy Załącznika nr 1a do SWZ - Pkt. 17</w:t>
      </w: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Czy Zamawiający rozumie przez pełną integrację z mikroskopem integrację opisaną w pkt.10, jednocześnie mając na uwadze, że możliwość wstrzykiwania obrazu uzależniona jest od posiadanych opcji i modelu mikroskopu?</w:t>
      </w: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b/>
          <w:bCs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b/>
          <w:bCs/>
          <w:color w:val="000000" w:themeColor="text1"/>
          <w:lang w:eastAsia="pl-PL"/>
        </w:rPr>
        <w:t>Odpowiedź: Zamawiający rozumie przez pełną integrację z mikroskopem integrację opisaną w pkt.</w:t>
      </w:r>
      <w:r w:rsidR="00CE5BA0" w:rsidRPr="00F35EAB">
        <w:rPr>
          <w:rFonts w:ascii="Garamond" w:eastAsia="Times New Roman" w:hAnsi="Garamond" w:cs="Helvetica"/>
          <w:b/>
          <w:bCs/>
          <w:color w:val="000000" w:themeColor="text1"/>
          <w:lang w:eastAsia="pl-PL"/>
        </w:rPr>
        <w:t xml:space="preserve"> </w:t>
      </w:r>
      <w:r w:rsidRPr="00F35EAB">
        <w:rPr>
          <w:rFonts w:ascii="Garamond" w:eastAsia="Times New Roman" w:hAnsi="Garamond" w:cs="Helvetica"/>
          <w:b/>
          <w:bCs/>
          <w:color w:val="000000" w:themeColor="text1"/>
          <w:lang w:eastAsia="pl-PL"/>
        </w:rPr>
        <w:t>10 załącznika nr 1a do SWZ.</w:t>
      </w: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2854EB" w:rsidRPr="00F35EAB" w:rsidRDefault="002854EB" w:rsidP="002854EB">
      <w:pPr>
        <w:numPr>
          <w:ilvl w:val="0"/>
          <w:numId w:val="8"/>
        </w:num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Dotyczy Załącznika nr 1a do SWZ - Pkt. 56 oraz Załącznika nr 3 (wzór umowy) § 10 Pkt. 4.</w:t>
      </w: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Czy Zamawiający dopuści wymianę podzespołu na nowy po drugiej nieskutecznej próbie naprawy?</w:t>
      </w:r>
    </w:p>
    <w:p w:rsidR="00CE5BA0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b/>
          <w:bCs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b/>
          <w:bCs/>
          <w:color w:val="000000" w:themeColor="text1"/>
          <w:lang w:eastAsia="pl-PL"/>
        </w:rPr>
        <w:t>Odpowiedź: Zamawiający dopuszcza.</w:t>
      </w:r>
    </w:p>
    <w:p w:rsidR="00FD7A44" w:rsidRPr="00F35EAB" w:rsidRDefault="00FD7A44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2854EB" w:rsidRPr="00F35EAB" w:rsidRDefault="002854EB" w:rsidP="002854EB">
      <w:pPr>
        <w:numPr>
          <w:ilvl w:val="0"/>
          <w:numId w:val="8"/>
        </w:num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Dotyczy Załącznika nr 1a do SWZ - Pkt. 57 oraz Załącznika nr 3 (wzór umowy) § 10 Pkt. 5.</w:t>
      </w: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Czy Zamawiający dopuści terminy zakończenia działań serwisowych odpowiednio 7 i 14 dni od dnia zgłoszenia awarii?</w:t>
      </w: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b/>
          <w:bCs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b/>
          <w:bCs/>
          <w:color w:val="000000" w:themeColor="text1"/>
          <w:lang w:eastAsia="pl-PL"/>
        </w:rPr>
        <w:t>Odpowiedź: Zamawiający nie dopuszcza.</w:t>
      </w: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2854EB" w:rsidRPr="00F35EAB" w:rsidRDefault="002854EB" w:rsidP="002854EB">
      <w:pPr>
        <w:numPr>
          <w:ilvl w:val="0"/>
          <w:numId w:val="8"/>
        </w:num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Dotyczy Załącznika nr 1a do SWZ - Pkt. 59 oraz Załącznika nr 3 (wzór umowy) § 4 Pkt. 3.</w:t>
      </w: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 xml:space="preserve">Czy Zamawiający dopuści posiadanie hasła i blokady serwisowej w przypadku, gdy ich utrzymanie jest wymagane ochroną danych osobowych, </w:t>
      </w:r>
      <w:proofErr w:type="spellStart"/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właśności</w:t>
      </w:r>
      <w:proofErr w:type="spellEnd"/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 xml:space="preserve"> intelektualnej lub przepisami prawa - w tym rozporządzenia MDR (Rozporządzenie Parlamentu Europejskiego i Rady (UE) 2017/745 z dnia 5 kwietnia 2017 r.) oraz Ustawy z dnia 7 kwietnia 2022 r. o wyrobach medycznych ?Ze </w:t>
      </w:r>
      <w:proofErr w:type="spellStart"/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wzgędów</w:t>
      </w:r>
      <w:proofErr w:type="spellEnd"/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 xml:space="preserve"> bezpieczeństwa część </w:t>
      </w:r>
      <w:proofErr w:type="spellStart"/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ustwień</w:t>
      </w:r>
      <w:proofErr w:type="spellEnd"/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 xml:space="preserve"> konfiguracyjnych może być udostępniona jedynie upoważnionym przez producenta inżynierom serwisu.</w:t>
      </w: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b/>
          <w:bCs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b/>
          <w:bCs/>
          <w:color w:val="000000" w:themeColor="text1"/>
          <w:lang w:eastAsia="pl-PL"/>
        </w:rPr>
        <w:t>Odpowiedź: Zamawiający nie dopuszcza.</w:t>
      </w: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b/>
          <w:bCs/>
          <w:color w:val="000000" w:themeColor="text1"/>
          <w:lang w:eastAsia="pl-PL"/>
        </w:rPr>
      </w:pPr>
    </w:p>
    <w:p w:rsidR="002854EB" w:rsidRPr="00F35EAB" w:rsidRDefault="002854EB" w:rsidP="002854EB">
      <w:pPr>
        <w:numPr>
          <w:ilvl w:val="0"/>
          <w:numId w:val="8"/>
        </w:num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2854EB" w:rsidRPr="00F35EAB" w:rsidRDefault="002854EB" w:rsidP="002854EB">
      <w:pPr>
        <w:spacing w:after="0"/>
        <w:ind w:right="42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Dotyczy Załącznika nr 1a do SWZ - Pkt. 67 oraz Załącznika nr 3 (wzór umowy) § 4 Pkt. 2 b.</w:t>
      </w:r>
    </w:p>
    <w:p w:rsidR="002854EB" w:rsidRPr="00F35EAB" w:rsidRDefault="002854EB" w:rsidP="002854EB">
      <w:pPr>
        <w:spacing w:after="0"/>
        <w:ind w:right="42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Czy Zamawiający dopuści brak lub dostarczenie dokumentacji w ograniczonym zakresie w przypadku, gdy wykonywanie procedur przez autoryzowanego przedstawiciela regulowane i wymagane jest przepisami prawa - w tym rozporządzenia MDR (Rozporządzenie Parlamentu Europejskiego i Rady (UE) 2017/745 z dnia 5 kwietnia 2017 r.) oraz Ustawy z dnia 7 kwietnia 2022 r. o wyrobach medycznych?</w:t>
      </w:r>
    </w:p>
    <w:p w:rsidR="002854EB" w:rsidRPr="00F35EAB" w:rsidRDefault="002854EB" w:rsidP="002854EB">
      <w:pPr>
        <w:spacing w:after="0"/>
        <w:ind w:right="425"/>
        <w:jc w:val="both"/>
        <w:rPr>
          <w:rFonts w:ascii="Garamond" w:eastAsia="Times New Roman" w:hAnsi="Garamond"/>
          <w:b/>
          <w:bCs/>
          <w:color w:val="000000" w:themeColor="text1"/>
          <w:lang w:eastAsia="pl-PL"/>
        </w:rPr>
      </w:pPr>
      <w:r w:rsidRPr="00F35EAB">
        <w:rPr>
          <w:rFonts w:ascii="Garamond" w:eastAsia="Times New Roman" w:hAnsi="Garamond"/>
          <w:b/>
          <w:bCs/>
          <w:color w:val="000000" w:themeColor="text1"/>
          <w:lang w:eastAsia="pl-PL"/>
        </w:rPr>
        <w:t>Odpowiedź: Zamawiający nie dopuszcza.</w:t>
      </w:r>
    </w:p>
    <w:p w:rsidR="002854EB" w:rsidRPr="00F35EAB" w:rsidRDefault="002854EB" w:rsidP="002854EB">
      <w:pPr>
        <w:spacing w:after="0"/>
        <w:jc w:val="both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:rsidR="002854EB" w:rsidRPr="00F35EAB" w:rsidRDefault="002854EB" w:rsidP="002854EB">
      <w:pPr>
        <w:numPr>
          <w:ilvl w:val="0"/>
          <w:numId w:val="8"/>
        </w:num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Dotyczy Załącznika nr 1a do SWZ - Pkt. 46</w:t>
      </w: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Czy Zamawiający dopuści brak automatycznego przechodzenia w tryb czuwania ze względów bezpieczeństwa, w przypadku którym wybudzenie urządzenia z takiego trybu mogłoby potencjalnie spowodować spóźnioną reakcję śródoperacyjną?</w:t>
      </w: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b/>
          <w:bCs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b/>
          <w:bCs/>
          <w:color w:val="000000" w:themeColor="text1"/>
          <w:lang w:eastAsia="pl-PL"/>
        </w:rPr>
        <w:t>Odpowiedź: Zamawiający informuje, iż pkt. 46 załącznika nr 1a do SWZ jest nieobligatoryjny.</w:t>
      </w: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b/>
          <w:bCs/>
          <w:color w:val="000000" w:themeColor="text1"/>
          <w:lang w:eastAsia="pl-PL"/>
        </w:rPr>
      </w:pP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b/>
          <w:bCs/>
          <w:color w:val="000000" w:themeColor="text1"/>
          <w:lang w:eastAsia="pl-PL"/>
        </w:rPr>
      </w:pPr>
    </w:p>
    <w:p w:rsidR="00C70802" w:rsidRPr="00F35EAB" w:rsidRDefault="00C70802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b/>
          <w:bCs/>
          <w:color w:val="000000" w:themeColor="text1"/>
          <w:lang w:eastAsia="pl-PL"/>
        </w:rPr>
      </w:pPr>
    </w:p>
    <w:p w:rsidR="00C70802" w:rsidRPr="00F35EAB" w:rsidRDefault="00C70802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b/>
          <w:bCs/>
          <w:color w:val="000000" w:themeColor="text1"/>
          <w:lang w:eastAsia="pl-PL"/>
        </w:rPr>
      </w:pPr>
    </w:p>
    <w:p w:rsidR="00FD7A44" w:rsidRPr="00F35EAB" w:rsidRDefault="00FD7A44" w:rsidP="00FD7A44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lastRenderedPageBreak/>
        <w:t>Zmianie ulegają również postanowienia SWZ w następującym zakresie:</w:t>
      </w:r>
    </w:p>
    <w:p w:rsidR="00FD7A44" w:rsidRPr="00F35EAB" w:rsidRDefault="00FD7A44" w:rsidP="00FD7A44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- pkt 3.6 SWZ otrzymuje brzmienie:</w:t>
      </w:r>
    </w:p>
    <w:p w:rsidR="00381434" w:rsidRPr="00F35EAB" w:rsidRDefault="00381434" w:rsidP="00FD7A44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„3.6. Oferowany sprzęt musi być wyrobem medycznym dopuszczonym do obrotu i używania na terenie Polski zgodnie z postanowieniami ustawy z dnia 07.04.2022 r. o wyrobach medycznych.”</w:t>
      </w:r>
    </w:p>
    <w:p w:rsidR="00381434" w:rsidRPr="00F35EAB" w:rsidRDefault="00381434" w:rsidP="00FD7A44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FD7A44" w:rsidRPr="00F35EAB" w:rsidRDefault="00FD7A44" w:rsidP="00FD7A44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- pkt 3.7 SWZ otrzymuje brzmienie:</w:t>
      </w:r>
    </w:p>
    <w:p w:rsidR="00FD7A44" w:rsidRPr="00F35EAB" w:rsidRDefault="00FD7A44" w:rsidP="00FD7A44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 xml:space="preserve">„3.7. Oferowany sprzęt musi być fabrycznie nowy (rok produkcji nie wcześniej niż 2021), nieużywany, kompletny, a do jego uruchomienia oraz stosowania zgodnie z przeznaczeniem nie będzie konieczny zakup dodatkowych elementów i akcesoriów. Sprzęt ani żadna jego część składowa, wyposażenie, etc. nie są </w:t>
      </w:r>
      <w:proofErr w:type="spellStart"/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rekondycjonowane</w:t>
      </w:r>
      <w:proofErr w:type="spellEnd"/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, powystawowe i nie były wykorzystywane wcześniej przez inny podmiot.”</w:t>
      </w:r>
    </w:p>
    <w:p w:rsidR="00FD7A44" w:rsidRPr="00F35EAB" w:rsidRDefault="00FD7A44" w:rsidP="00FD7A44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381434" w:rsidRPr="00F35EAB" w:rsidRDefault="00381434" w:rsidP="00FD7A44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381434" w:rsidRPr="00F35EAB" w:rsidRDefault="00381434" w:rsidP="00381434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 xml:space="preserve">Zmianie ulegają następujące postanowienia </w:t>
      </w:r>
      <w:r w:rsidR="00C70802" w:rsidRPr="00F35EAB">
        <w:rPr>
          <w:rFonts w:ascii="Garamond" w:eastAsia="Times New Roman" w:hAnsi="Garamond" w:cs="Helvetica"/>
          <w:color w:val="000000" w:themeColor="text1"/>
          <w:lang w:eastAsia="pl-PL"/>
        </w:rPr>
        <w:t>formularza oferty (zał. nr 1</w:t>
      </w: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 xml:space="preserve"> do SWZ):</w:t>
      </w:r>
    </w:p>
    <w:p w:rsidR="00C70802" w:rsidRPr="00F35EAB" w:rsidRDefault="00C70802" w:rsidP="00C70802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- pkt 8 formularza oferty otrzymuje brzmienie:</w:t>
      </w:r>
    </w:p>
    <w:p w:rsidR="00C70802" w:rsidRPr="00F35EAB" w:rsidRDefault="00C70802" w:rsidP="00381434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bCs/>
          <w:color w:val="000000" w:themeColor="text1"/>
          <w:lang w:eastAsia="pl-PL"/>
        </w:rPr>
        <w:t>„8. Oświadczamy, że oferowany przez nas sprzęt jest wyrobem medycznym dopuszczonym do obrotu i używania na terenie Polski, zgodnie z postanowieniami ustawy z dnia 07.04.2022 r. roku o wyrobach medycznych. Jednocześnie oświadczamy, że na każdorazowe wezwanie Zamawiającego przedstawimy dokumenty dopuszczające do obrotu i używania na terenie Polski.”</w:t>
      </w:r>
    </w:p>
    <w:p w:rsidR="00381434" w:rsidRPr="00F35EAB" w:rsidRDefault="00381434" w:rsidP="00FD7A44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381434" w:rsidRPr="00F35EAB" w:rsidRDefault="00381434" w:rsidP="00FD7A44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FD7A44" w:rsidRPr="00F35EAB" w:rsidRDefault="00FD7A44" w:rsidP="00FD7A44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Zmianie ulegają następujące postanowienia wzoru umowy (zał. nr 3 do SWZ):</w:t>
      </w:r>
    </w:p>
    <w:p w:rsidR="00381434" w:rsidRPr="00F35EAB" w:rsidRDefault="00381434" w:rsidP="00381434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 xml:space="preserve">- § 2 ust. 1 pkt 1) wzoru umowy otrzymuje nowe brzmienie: </w:t>
      </w:r>
    </w:p>
    <w:p w:rsidR="00381434" w:rsidRPr="00F35EAB" w:rsidRDefault="00381434" w:rsidP="00381434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 xml:space="preserve">,,Sprzęt jest fabrycznie nowy (rok produkcji nie wcześniej niż 2021), nieużywany , kompletny, a do jego uruchomienia oraz stosowania zgodnie z przeznaczeniem nie będzie konieczny zakup dodatkowych elementów i akcesoriów. Sprzęt ani żadna jego część składowa, wyposażenie, etc. nie są </w:t>
      </w:r>
      <w:proofErr w:type="spellStart"/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rekondycjonowane</w:t>
      </w:r>
      <w:proofErr w:type="spellEnd"/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, powystawowe i nie były wykorzystywane wcześniej przez inny podmiot.”</w:t>
      </w:r>
    </w:p>
    <w:p w:rsidR="00381434" w:rsidRPr="00F35EAB" w:rsidRDefault="00381434" w:rsidP="00FD7A44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F32402" w:rsidRPr="00F35EAB" w:rsidRDefault="00F32402" w:rsidP="00F32402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- § 2 ust. 1 pkt 4) wzoru umowy otrzymuje nowe brzmienie:</w:t>
      </w:r>
    </w:p>
    <w:p w:rsidR="00F32402" w:rsidRPr="00F35EAB" w:rsidRDefault="00F32402" w:rsidP="00F32402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,Sprzęt jest dopuszczony do obrotu i stosowania na terenie Polski, zgodnie z ustawą z dnia 7 kwietnia  2022 r. o wyrobach medycznych,”</w:t>
      </w:r>
    </w:p>
    <w:p w:rsidR="00F32402" w:rsidRPr="00F35EAB" w:rsidRDefault="00F32402" w:rsidP="00FD7A44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F32402" w:rsidRPr="00F35EAB" w:rsidRDefault="00F32402" w:rsidP="00FD7A44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FD7A44" w:rsidRPr="00F35EAB" w:rsidRDefault="00FD7A44" w:rsidP="00FD7A44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 xml:space="preserve">- § 10 ust. 4 wzoru umowy otrzymuje nowe brzmienie: </w:t>
      </w:r>
    </w:p>
    <w:p w:rsidR="00FD7A44" w:rsidRPr="00F35EAB" w:rsidRDefault="00FD7A44" w:rsidP="00FD7A44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 xml:space="preserve"> ,,Wykonawca zobowiązuje się do wymiany części Sprzętu (podzespołu itp.) po drugiej nieskutecznej próbi</w:t>
      </w:r>
      <w:r w:rsidR="00381434" w:rsidRPr="00F35EAB">
        <w:rPr>
          <w:rFonts w:ascii="Garamond" w:eastAsia="Times New Roman" w:hAnsi="Garamond" w:cs="Helvetica"/>
          <w:color w:val="000000" w:themeColor="text1"/>
          <w:lang w:eastAsia="pl-PL"/>
        </w:rPr>
        <w:t>e jego naprawy”</w:t>
      </w:r>
    </w:p>
    <w:p w:rsidR="00381434" w:rsidRPr="00F35EAB" w:rsidRDefault="00381434" w:rsidP="00FD7A44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2854EB" w:rsidRPr="00F35EAB" w:rsidRDefault="002854EB" w:rsidP="002854EB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b/>
          <w:bCs/>
          <w:color w:val="000000" w:themeColor="text1"/>
          <w:lang w:eastAsia="pl-PL"/>
        </w:rPr>
      </w:pPr>
    </w:p>
    <w:p w:rsidR="00FD7A44" w:rsidRPr="00F35EAB" w:rsidRDefault="00FD7A44" w:rsidP="00214102">
      <w:pPr>
        <w:shd w:val="clear" w:color="auto" w:fill="FFFFFF"/>
        <w:spacing w:after="0" w:line="240" w:lineRule="auto"/>
        <w:ind w:right="375" w:firstLine="708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FD7A44" w:rsidRPr="00F35EAB" w:rsidRDefault="00FD7A44" w:rsidP="00381434">
      <w:pPr>
        <w:shd w:val="clear" w:color="auto" w:fill="FFFFFF"/>
        <w:spacing w:after="0" w:line="240" w:lineRule="auto"/>
        <w:ind w:right="375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</w:p>
    <w:p w:rsidR="002854EB" w:rsidRPr="00F35EAB" w:rsidRDefault="002854EB" w:rsidP="00214102">
      <w:pPr>
        <w:shd w:val="clear" w:color="auto" w:fill="FFFFFF"/>
        <w:spacing w:after="0" w:line="240" w:lineRule="auto"/>
        <w:ind w:right="375" w:firstLine="708"/>
        <w:jc w:val="both"/>
        <w:rPr>
          <w:rFonts w:ascii="Garamond" w:eastAsia="Times New Roman" w:hAnsi="Garamond" w:cs="Helvetica"/>
          <w:color w:val="000000" w:themeColor="text1"/>
          <w:lang w:eastAsia="pl-PL"/>
        </w:rPr>
      </w:pP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>W załączeniu przekazuję</w:t>
      </w:r>
      <w:r w:rsidR="00F32402" w:rsidRPr="00F35EAB">
        <w:rPr>
          <w:rFonts w:ascii="Garamond" w:eastAsia="Times New Roman" w:hAnsi="Garamond" w:cs="Helvetica"/>
          <w:color w:val="000000" w:themeColor="text1"/>
          <w:lang w:eastAsia="pl-PL"/>
        </w:rPr>
        <w:t xml:space="preserve"> formularz oferty (zał. nr 1 do SWZ),</w:t>
      </w: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 xml:space="preserve"> </w:t>
      </w:r>
      <w:r w:rsidR="00214102" w:rsidRPr="00F35EAB">
        <w:rPr>
          <w:rFonts w:ascii="Garamond" w:eastAsia="Times New Roman" w:hAnsi="Garamond" w:cs="Helvetica"/>
          <w:color w:val="000000" w:themeColor="text1"/>
          <w:lang w:eastAsia="pl-PL"/>
        </w:rPr>
        <w:t>opis przedmiotu zamówienia</w:t>
      </w: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 xml:space="preserve"> (z</w:t>
      </w:r>
      <w:r w:rsidR="00F32402" w:rsidRPr="00F35EAB">
        <w:rPr>
          <w:rFonts w:ascii="Garamond" w:eastAsia="Times New Roman" w:hAnsi="Garamond" w:cs="Helvetica"/>
          <w:color w:val="000000" w:themeColor="text1"/>
          <w:lang w:eastAsia="pl-PL"/>
        </w:rPr>
        <w:t>ał. nr 1a do SWZ) uwzględniające</w:t>
      </w:r>
      <w:r w:rsidRPr="00F35EAB">
        <w:rPr>
          <w:rFonts w:ascii="Garamond" w:eastAsia="Times New Roman" w:hAnsi="Garamond" w:cs="Helvetica"/>
          <w:color w:val="000000" w:themeColor="text1"/>
          <w:lang w:eastAsia="pl-PL"/>
        </w:rPr>
        <w:t xml:space="preserve"> powyżej udzielone odpowiedzi oraz wprowadzone zmiany.</w:t>
      </w:r>
    </w:p>
    <w:p w:rsidR="003640FA" w:rsidRPr="00F35EAB" w:rsidRDefault="003640FA" w:rsidP="003640FA">
      <w:pPr>
        <w:spacing w:after="0" w:line="240" w:lineRule="auto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FD7A44" w:rsidRPr="00F35EAB" w:rsidRDefault="00FD7A44" w:rsidP="003640FA">
      <w:pPr>
        <w:spacing w:after="0" w:line="240" w:lineRule="auto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sectPr w:rsidR="00FD7A44" w:rsidRPr="00F35EAB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99" w:rsidRDefault="00197299" w:rsidP="00E22E7B">
      <w:pPr>
        <w:spacing w:after="0" w:line="240" w:lineRule="auto"/>
      </w:pPr>
      <w:r>
        <w:separator/>
      </w:r>
    </w:p>
  </w:endnote>
  <w:endnote w:type="continuationSeparator" w:id="0">
    <w:p w:rsidR="00197299" w:rsidRDefault="0019729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99" w:rsidRDefault="00197299" w:rsidP="00E22E7B">
      <w:pPr>
        <w:spacing w:after="0" w:line="240" w:lineRule="auto"/>
      </w:pPr>
      <w:r>
        <w:separator/>
      </w:r>
    </w:p>
  </w:footnote>
  <w:footnote w:type="continuationSeparator" w:id="0">
    <w:p w:rsidR="00197299" w:rsidRDefault="0019729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C475EF"/>
    <w:multiLevelType w:val="multilevel"/>
    <w:tmpl w:val="76F409F0"/>
    <w:lvl w:ilvl="0">
      <w:start w:val="1"/>
      <w:numFmt w:val="decimal"/>
      <w:lvlText w:val="%1)"/>
      <w:lvlJc w:val="left"/>
      <w:pPr>
        <w:tabs>
          <w:tab w:val="num" w:pos="3259"/>
        </w:tabs>
        <w:ind w:left="4045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D6185"/>
    <w:multiLevelType w:val="hybridMultilevel"/>
    <w:tmpl w:val="B6D0D422"/>
    <w:lvl w:ilvl="0" w:tplc="90C662CC">
      <w:start w:val="1"/>
      <w:numFmt w:val="decimal"/>
      <w:lvlText w:val="Pytanie %1."/>
      <w:lvlJc w:val="left"/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3360C"/>
    <w:rsid w:val="000456B6"/>
    <w:rsid w:val="00046AAB"/>
    <w:rsid w:val="0005276B"/>
    <w:rsid w:val="00056A8A"/>
    <w:rsid w:val="00071EB1"/>
    <w:rsid w:val="00073F20"/>
    <w:rsid w:val="00074020"/>
    <w:rsid w:val="00085EC6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565E"/>
    <w:rsid w:val="0018594C"/>
    <w:rsid w:val="00186736"/>
    <w:rsid w:val="00197299"/>
    <w:rsid w:val="00197F7E"/>
    <w:rsid w:val="001A1E07"/>
    <w:rsid w:val="001A2069"/>
    <w:rsid w:val="001A37F2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410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54EB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434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B4381"/>
    <w:rsid w:val="005B6105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19DA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7525"/>
    <w:rsid w:val="008F795C"/>
    <w:rsid w:val="00905926"/>
    <w:rsid w:val="0091041A"/>
    <w:rsid w:val="00920E94"/>
    <w:rsid w:val="00921418"/>
    <w:rsid w:val="009219C1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69BB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0802"/>
    <w:rsid w:val="00C75BCA"/>
    <w:rsid w:val="00C942AD"/>
    <w:rsid w:val="00CA01D3"/>
    <w:rsid w:val="00CA3C40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E5BA0"/>
    <w:rsid w:val="00CF03BC"/>
    <w:rsid w:val="00CF13B9"/>
    <w:rsid w:val="00CF4284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75FD"/>
    <w:rsid w:val="00DF40CD"/>
    <w:rsid w:val="00DF5C74"/>
    <w:rsid w:val="00DF67C0"/>
    <w:rsid w:val="00DF74BC"/>
    <w:rsid w:val="00DF784D"/>
    <w:rsid w:val="00E01D0A"/>
    <w:rsid w:val="00E03A86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2402"/>
    <w:rsid w:val="00F34666"/>
    <w:rsid w:val="00F35CA6"/>
    <w:rsid w:val="00F35EAB"/>
    <w:rsid w:val="00F36E4E"/>
    <w:rsid w:val="00F47622"/>
    <w:rsid w:val="00F478CA"/>
    <w:rsid w:val="00F5445A"/>
    <w:rsid w:val="00F5507E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D763D"/>
    <w:rsid w:val="00FD77EB"/>
    <w:rsid w:val="00FD7A44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4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F40E66-DBBF-44F0-82F5-465860C4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1416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8</cp:revision>
  <cp:lastPrinted>2022-06-07T10:50:00Z</cp:lastPrinted>
  <dcterms:created xsi:type="dcterms:W3CDTF">2022-06-07T07:49:00Z</dcterms:created>
  <dcterms:modified xsi:type="dcterms:W3CDTF">2022-06-07T11:05:00Z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