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AF" w:rsidRPr="008F619E" w:rsidRDefault="00AD39AF" w:rsidP="008F619E">
      <w:pPr>
        <w:pStyle w:val="Tytu"/>
        <w:spacing w:after="120" w:line="312" w:lineRule="auto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OPIS PRZEDMIOTU ZAMÓWIENIA</w:t>
      </w:r>
    </w:p>
    <w:p w:rsidR="00AD39AF" w:rsidRPr="008F619E" w:rsidRDefault="00AD39AF" w:rsidP="008F619E">
      <w:pPr>
        <w:tabs>
          <w:tab w:val="left" w:pos="792"/>
        </w:tabs>
        <w:spacing w:after="120" w:line="312" w:lineRule="auto"/>
        <w:rPr>
          <w:rFonts w:ascii="Calibri" w:hAnsi="Calibri" w:cs="Calibri"/>
          <w:sz w:val="24"/>
          <w:szCs w:val="24"/>
          <w:lang w:val="en-US"/>
        </w:rPr>
      </w:pPr>
      <w:r w:rsidRPr="008F619E">
        <w:rPr>
          <w:rFonts w:ascii="Calibri" w:hAnsi="Calibri" w:cs="Calibri"/>
          <w:sz w:val="24"/>
          <w:szCs w:val="24"/>
          <w:lang w:val="en-US"/>
        </w:rPr>
        <w:t>Modernizacja i rozbudowa systemu centrali MiVoice MX-One ver. 6.3 SP6 , MiCon</w:t>
      </w:r>
      <w:r w:rsidR="008F619E">
        <w:rPr>
          <w:rFonts w:ascii="Calibri" w:hAnsi="Calibri" w:cs="Calibri"/>
          <w:sz w:val="24"/>
          <w:szCs w:val="24"/>
          <w:lang w:val="en-US"/>
        </w:rPr>
        <w:t>tact Center Enterprise ver. 9.2</w:t>
      </w:r>
      <w:r w:rsidRPr="008F619E">
        <w:rPr>
          <w:rFonts w:ascii="Calibri" w:hAnsi="Calibri" w:cs="Calibri"/>
          <w:sz w:val="24"/>
          <w:szCs w:val="24"/>
          <w:lang w:val="en-US"/>
        </w:rPr>
        <w:t>, Mitel MiVoice Call Recorder ver. 9.2 SP5, Chartify obejmująca:</w:t>
      </w:r>
      <w:bookmarkStart w:id="0" w:name="bookmark=id.gjdgxs" w:colFirst="0" w:colLast="0"/>
      <w:bookmarkEnd w:id="0"/>
    </w:p>
    <w:p w:rsidR="00AD39AF" w:rsidRPr="008F619E" w:rsidRDefault="00AD39AF" w:rsidP="009F7995">
      <w:pPr>
        <w:numPr>
          <w:ilvl w:val="0"/>
          <w:numId w:val="1"/>
        </w:numPr>
        <w:spacing w:after="12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b/>
          <w:sz w:val="24"/>
          <w:szCs w:val="24"/>
        </w:rPr>
        <w:t>D</w:t>
      </w:r>
      <w:bookmarkStart w:id="1" w:name="_GoBack"/>
      <w:bookmarkEnd w:id="1"/>
      <w:r w:rsidRPr="008F619E">
        <w:rPr>
          <w:rFonts w:ascii="Calibri" w:hAnsi="Calibri" w:cs="Calibri"/>
          <w:b/>
          <w:sz w:val="24"/>
          <w:szCs w:val="24"/>
        </w:rPr>
        <w:t>ostawę 140 telefonów IP</w:t>
      </w:r>
      <w:r w:rsidRPr="008F619E">
        <w:rPr>
          <w:rFonts w:ascii="Calibri" w:hAnsi="Calibri" w:cs="Calibri"/>
          <w:sz w:val="24"/>
          <w:szCs w:val="24"/>
        </w:rPr>
        <w:t xml:space="preserve"> model podstawowy o parametrach nie gorszych niż: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Ekran trzyliniowy monochromatyczny o przekątnej </w:t>
      </w:r>
      <w:smartTag w:uri="urn:schemas-microsoft-com:office:smarttags" w:element="metricconverter">
        <w:smartTagPr>
          <w:attr w:name="ProductID" w:val="2,75”"/>
        </w:smartTagPr>
        <w:r w:rsidRPr="008F619E">
          <w:rPr>
            <w:rFonts w:ascii="Calibri" w:hAnsi="Calibri" w:cs="Calibri"/>
            <w:sz w:val="24"/>
            <w:szCs w:val="24"/>
          </w:rPr>
          <w:t>2,75”</w:t>
        </w:r>
      </w:smartTag>
      <w:r w:rsidR="008F619E">
        <w:rPr>
          <w:rFonts w:ascii="Calibri" w:hAnsi="Calibri" w:cs="Calibri"/>
          <w:sz w:val="24"/>
          <w:szCs w:val="24"/>
        </w:rPr>
        <w:t xml:space="preserve"> 128x48 pixel,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Wbudowany switch 10/100 Mbps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Czterokierunkowy przycisk nawigacyjny z przyciskiem wyboru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8F619E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2 dedykowane linie,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Obsługiwane kodeki: G.711 µ-law / A-law, G.729, G.722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SIP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Zasilanie PoE (PoE Class 1)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Wbudowany mikrofon i głośnik do prowadzenia</w:t>
      </w:r>
      <w:r w:rsidR="008F619E" w:rsidRPr="008F619E">
        <w:rPr>
          <w:rFonts w:ascii="Calibri" w:hAnsi="Calibri" w:cs="Calibri"/>
          <w:sz w:val="24"/>
          <w:szCs w:val="24"/>
        </w:rPr>
        <w:t xml:space="preserve"> rozmów w trybie głośnomówiącym,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Wsparcie dla aktywnego nagrywania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240" w:line="312" w:lineRule="auto"/>
        <w:ind w:left="709" w:hanging="284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Zarządzanie </w:t>
      </w:r>
      <w:r w:rsidR="008F619E" w:rsidRPr="008F619E">
        <w:rPr>
          <w:rFonts w:ascii="Calibri" w:hAnsi="Calibri" w:cs="Calibri"/>
          <w:sz w:val="24"/>
          <w:szCs w:val="24"/>
        </w:rPr>
        <w:t>z centrali Mitel MiVoice MX-One,</w:t>
      </w:r>
    </w:p>
    <w:p w:rsidR="00AD39AF" w:rsidRPr="008F619E" w:rsidRDefault="00AD39AF" w:rsidP="009F7995">
      <w:pPr>
        <w:numPr>
          <w:ilvl w:val="0"/>
          <w:numId w:val="1"/>
        </w:numPr>
        <w:spacing w:after="12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b/>
          <w:sz w:val="24"/>
          <w:szCs w:val="24"/>
        </w:rPr>
        <w:t>Dostawę</w:t>
      </w:r>
      <w:r w:rsidR="008F619E" w:rsidRPr="008F619E">
        <w:rPr>
          <w:rFonts w:ascii="Calibri" w:hAnsi="Calibri" w:cs="Calibri"/>
          <w:b/>
          <w:sz w:val="24"/>
          <w:szCs w:val="24"/>
        </w:rPr>
        <w:t xml:space="preserve"> </w:t>
      </w:r>
      <w:r w:rsidRPr="008F619E">
        <w:rPr>
          <w:rFonts w:ascii="Calibri" w:hAnsi="Calibri" w:cs="Calibri"/>
          <w:b/>
          <w:sz w:val="24"/>
          <w:szCs w:val="24"/>
        </w:rPr>
        <w:t>8 szt. telefonów IP</w:t>
      </w:r>
      <w:r w:rsidR="008F619E" w:rsidRPr="008F619E">
        <w:rPr>
          <w:rFonts w:ascii="Calibri" w:hAnsi="Calibri" w:cs="Calibri"/>
          <w:sz w:val="24"/>
          <w:szCs w:val="24"/>
        </w:rPr>
        <w:t xml:space="preserve"> </w:t>
      </w:r>
      <w:r w:rsidRPr="008F619E">
        <w:rPr>
          <w:rFonts w:ascii="Calibri" w:hAnsi="Calibri" w:cs="Calibri"/>
          <w:sz w:val="24"/>
          <w:szCs w:val="24"/>
        </w:rPr>
        <w:t>model średniozaawansowanych o parametrach nie gorszych niż: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Ekran monochromatyczny </w:t>
      </w:r>
      <w:smartTag w:uri="urn:schemas-microsoft-com:office:smarttags" w:element="metricconverter">
        <w:smartTagPr>
          <w:attr w:name="ProductID" w:val="3,4”"/>
        </w:smartTagPr>
        <w:r w:rsidRPr="008F619E">
          <w:rPr>
            <w:rFonts w:ascii="Calibri" w:hAnsi="Calibri" w:cs="Calibri"/>
            <w:sz w:val="24"/>
            <w:szCs w:val="24"/>
          </w:rPr>
          <w:t>3,4”</w:t>
        </w:r>
      </w:smartTag>
      <w:r w:rsidRPr="008F619E">
        <w:rPr>
          <w:rFonts w:ascii="Calibri" w:hAnsi="Calibri" w:cs="Calibri"/>
          <w:sz w:val="24"/>
          <w:szCs w:val="24"/>
        </w:rPr>
        <w:t xml:space="preserve"> 128x48 pixel z podświetleniem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Lampka LED informująca min. o połączeniu przychodzącym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Obsługiwane kodeki: G.711 µ-law / A-law, G.729, G.722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SIP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8F619E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8 programowalnych przycisków,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Czterokierunkowy przycisk nawigacyjny z przyciskiem wyboru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Wbudowany switch 10/100/1000 Mbps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Dedykowane przyciski funkcyjne: transfer, lista połączeń, podgłaszania i ściszania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Zasilanie PoE (PoE Class 2)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Przyciski dla 2 dedykowanych linii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Wsparcie dla akty</w:t>
      </w:r>
      <w:r w:rsidR="008F619E" w:rsidRPr="008F619E">
        <w:rPr>
          <w:rFonts w:ascii="Calibri" w:hAnsi="Calibri" w:cs="Calibri"/>
          <w:sz w:val="24"/>
          <w:szCs w:val="24"/>
        </w:rPr>
        <w:t>wnego nagrywania,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709" w:hanging="283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Dedykowane gniazdo do</w:t>
      </w:r>
      <w:r w:rsidR="008F619E" w:rsidRPr="008F619E">
        <w:rPr>
          <w:rFonts w:ascii="Calibri" w:hAnsi="Calibri" w:cs="Calibri"/>
          <w:sz w:val="24"/>
          <w:szCs w:val="24"/>
        </w:rPr>
        <w:t xml:space="preserve"> podłączenia zestawu nagłownego,</w:t>
      </w:r>
    </w:p>
    <w:p w:rsidR="00AD39AF" w:rsidRPr="008F619E" w:rsidRDefault="00AD39AF" w:rsidP="009F7995">
      <w:pPr>
        <w:numPr>
          <w:ilvl w:val="2"/>
          <w:numId w:val="1"/>
        </w:numPr>
        <w:spacing w:after="240" w:line="312" w:lineRule="auto"/>
        <w:ind w:left="709" w:hanging="284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Zarządzanie z centrali Mitel MiVoice MX-One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0"/>
          <w:numId w:val="1"/>
        </w:numPr>
        <w:spacing w:after="12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b/>
          <w:sz w:val="24"/>
          <w:szCs w:val="24"/>
        </w:rPr>
        <w:lastRenderedPageBreak/>
        <w:t>Dostawę</w:t>
      </w:r>
      <w:r w:rsidR="008F619E" w:rsidRPr="008F619E">
        <w:rPr>
          <w:rFonts w:ascii="Calibri" w:hAnsi="Calibri" w:cs="Calibri"/>
          <w:b/>
          <w:sz w:val="24"/>
          <w:szCs w:val="24"/>
        </w:rPr>
        <w:t xml:space="preserve"> </w:t>
      </w:r>
      <w:r w:rsidRPr="008F619E">
        <w:rPr>
          <w:rFonts w:ascii="Calibri" w:hAnsi="Calibri" w:cs="Calibri"/>
          <w:b/>
          <w:sz w:val="24"/>
          <w:szCs w:val="24"/>
        </w:rPr>
        <w:t>12 telefonów IP</w:t>
      </w:r>
      <w:r w:rsidRPr="008F619E">
        <w:rPr>
          <w:rFonts w:ascii="Calibri" w:hAnsi="Calibri" w:cs="Calibri"/>
          <w:sz w:val="24"/>
          <w:szCs w:val="24"/>
        </w:rPr>
        <w:t xml:space="preserve"> model zaawansowany o parametrach nie gorszych niż: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Ekran kolorowy </w:t>
      </w:r>
      <w:smartTag w:uri="urn:schemas-microsoft-com:office:smarttags" w:element="metricconverter">
        <w:smartTagPr>
          <w:attr w:name="ProductID" w:val="3,5”"/>
        </w:smartTagPr>
        <w:r w:rsidRPr="008F619E">
          <w:rPr>
            <w:rFonts w:ascii="Calibri" w:hAnsi="Calibri" w:cs="Calibri"/>
            <w:sz w:val="24"/>
            <w:szCs w:val="24"/>
          </w:rPr>
          <w:t>3,5”</w:t>
        </w:r>
      </w:smartTag>
      <w:r w:rsidR="008F619E" w:rsidRPr="008F619E">
        <w:rPr>
          <w:rFonts w:ascii="Calibri" w:hAnsi="Calibri" w:cs="Calibri"/>
          <w:sz w:val="24"/>
          <w:szCs w:val="24"/>
        </w:rPr>
        <w:t xml:space="preserve"> 320x240 pixel,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Lampka LED informująca min. o połączeniu przychodzącym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6 programowalnych przycisków z opisem na wyświetlaczu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8F619E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4 przyciski kontekstowe,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Czterokierunkowy przycisk nawigacyjny z przyciskiem wyboru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Wbudowany switch 10/100/1000 Mbps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8F619E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2 dedykowane linie,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Obsługiwane kodeki: G.711 µ-law / A-law, G.729, G.722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SIP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Zasilanie PoE (PoE Class 2)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Wbudowany mikrofon i głośnik do prowadzenia</w:t>
      </w:r>
      <w:r w:rsidR="008F619E" w:rsidRPr="008F619E">
        <w:rPr>
          <w:rFonts w:ascii="Calibri" w:hAnsi="Calibri" w:cs="Calibri"/>
          <w:sz w:val="24"/>
          <w:szCs w:val="24"/>
        </w:rPr>
        <w:t xml:space="preserve"> rozmów w trybie głośnomówiącym,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Dedykowane gniazdo do</w:t>
      </w:r>
      <w:r w:rsidR="008F619E" w:rsidRPr="008F619E">
        <w:rPr>
          <w:rFonts w:ascii="Calibri" w:hAnsi="Calibri" w:cs="Calibri"/>
          <w:sz w:val="24"/>
          <w:szCs w:val="24"/>
        </w:rPr>
        <w:t xml:space="preserve"> podłączenia zestawu nagłownego,</w:t>
      </w:r>
    </w:p>
    <w:p w:rsidR="00AD39AF" w:rsidRPr="008F619E" w:rsidRDefault="00AD39AF" w:rsidP="009F7995">
      <w:pPr>
        <w:numPr>
          <w:ilvl w:val="2"/>
          <w:numId w:val="1"/>
        </w:numPr>
        <w:spacing w:after="240" w:line="312" w:lineRule="auto"/>
        <w:ind w:left="850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Zarządzanie </w:t>
      </w:r>
      <w:r w:rsidR="008F619E" w:rsidRPr="008F619E">
        <w:rPr>
          <w:rFonts w:ascii="Calibri" w:hAnsi="Calibri" w:cs="Calibri"/>
          <w:sz w:val="24"/>
          <w:szCs w:val="24"/>
        </w:rPr>
        <w:t>z centrali Mitel MiVoice MX-One,</w:t>
      </w:r>
    </w:p>
    <w:p w:rsidR="00AD39AF" w:rsidRPr="008F619E" w:rsidRDefault="00AD39AF" w:rsidP="009F7995">
      <w:pPr>
        <w:numPr>
          <w:ilvl w:val="0"/>
          <w:numId w:val="1"/>
        </w:numPr>
        <w:spacing w:after="120" w:line="312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b/>
          <w:sz w:val="24"/>
          <w:szCs w:val="24"/>
        </w:rPr>
        <w:t>Dostawę</w:t>
      </w:r>
      <w:r w:rsidR="008F619E" w:rsidRPr="008F619E">
        <w:rPr>
          <w:rFonts w:ascii="Calibri" w:hAnsi="Calibri" w:cs="Calibri"/>
          <w:b/>
          <w:sz w:val="24"/>
          <w:szCs w:val="24"/>
        </w:rPr>
        <w:t xml:space="preserve"> </w:t>
      </w:r>
      <w:r w:rsidRPr="008F619E">
        <w:rPr>
          <w:rFonts w:ascii="Calibri" w:hAnsi="Calibri" w:cs="Calibri"/>
          <w:b/>
          <w:sz w:val="24"/>
          <w:szCs w:val="24"/>
        </w:rPr>
        <w:t xml:space="preserve">8 szt. zestawów nagłownych na jedno ucho wraz z mikrofonem oraz kablem połączeniowym do telefonu wymienionego w pkt. 2 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Mikro</w:t>
      </w:r>
      <w:r w:rsidR="008F619E" w:rsidRPr="008F619E">
        <w:rPr>
          <w:rFonts w:ascii="Calibri" w:hAnsi="Calibri" w:cs="Calibri"/>
          <w:sz w:val="24"/>
          <w:szCs w:val="24"/>
        </w:rPr>
        <w:t>fon z redukcją szumów otoczenia,</w:t>
      </w:r>
    </w:p>
    <w:p w:rsidR="00AD39AF" w:rsidRPr="008F619E" w:rsidRDefault="008F619E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Wersja na jedno ucho,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Częstotliwość sygnału transm</w:t>
      </w:r>
      <w:r w:rsidR="008F619E" w:rsidRPr="008F619E">
        <w:rPr>
          <w:rFonts w:ascii="Calibri" w:hAnsi="Calibri" w:cs="Calibri"/>
          <w:sz w:val="24"/>
          <w:szCs w:val="24"/>
        </w:rPr>
        <w:t>itowanego (typowo): 150-6800 Hz,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Częstotliwość sygnału odbieranego (typowo): 100-6800 Hz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Impedancja wyjściowa &lt;125 Ω</w:t>
      </w:r>
      <w:r w:rsidR="008F619E" w:rsidRPr="008F619E">
        <w:rPr>
          <w:rFonts w:ascii="Calibri" w:hAnsi="Calibri" w:cs="Calibri"/>
          <w:sz w:val="24"/>
          <w:szCs w:val="24"/>
        </w:rPr>
        <w:t>,</w:t>
      </w:r>
    </w:p>
    <w:p w:rsidR="00AD39AF" w:rsidRPr="008F619E" w:rsidRDefault="00AD39AF" w:rsidP="009F7995">
      <w:pPr>
        <w:numPr>
          <w:ilvl w:val="2"/>
          <w:numId w:val="1"/>
        </w:numPr>
        <w:spacing w:after="120" w:line="312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Kabel podłączeniowy </w:t>
      </w:r>
      <w:r w:rsidR="008F619E" w:rsidRPr="008F619E">
        <w:rPr>
          <w:rFonts w:ascii="Calibri" w:hAnsi="Calibri" w:cs="Calibri"/>
          <w:sz w:val="24"/>
          <w:szCs w:val="24"/>
        </w:rPr>
        <w:t>do telefonu jeśli jest wymagany,</w:t>
      </w:r>
    </w:p>
    <w:p w:rsidR="00AD39AF" w:rsidRPr="008F619E" w:rsidRDefault="00AD39AF" w:rsidP="009F7995">
      <w:pPr>
        <w:numPr>
          <w:ilvl w:val="2"/>
          <w:numId w:val="1"/>
        </w:numPr>
        <w:spacing w:after="240" w:line="312" w:lineRule="auto"/>
        <w:ind w:left="850" w:hanging="425"/>
        <w:rPr>
          <w:rFonts w:ascii="Calibri" w:hAnsi="Calibri" w:cs="Calibri"/>
          <w:b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Waga ~ </w:t>
      </w:r>
      <w:smartTag w:uri="urn:schemas-microsoft-com:office:smarttags" w:element="metricconverter">
        <w:smartTagPr>
          <w:attr w:name="ProductID" w:val="50 g"/>
        </w:smartTagPr>
        <w:r w:rsidRPr="008F619E">
          <w:rPr>
            <w:rFonts w:ascii="Calibri" w:hAnsi="Calibri" w:cs="Calibri"/>
            <w:sz w:val="24"/>
            <w:szCs w:val="24"/>
          </w:rPr>
          <w:t>50 g</w:t>
        </w:r>
        <w:r w:rsidR="008F619E" w:rsidRPr="008F619E">
          <w:rPr>
            <w:rFonts w:ascii="Calibri" w:hAnsi="Calibri" w:cs="Calibri"/>
            <w:sz w:val="24"/>
            <w:szCs w:val="24"/>
          </w:rPr>
          <w:t>,</w:t>
        </w:r>
      </w:smartTag>
    </w:p>
    <w:p w:rsidR="00AD39AF" w:rsidRPr="009F7995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>Dostawę licencji migracyjnej z abonenta analogowego/cyfrowego do użytkownika IP(SIP) centrali Mitel MiVoice MX-One ver 6.3 SP6</w:t>
      </w:r>
      <w:r w:rsidR="008F619E" w:rsidRPr="009F7995">
        <w:rPr>
          <w:rFonts w:ascii="Calibri" w:hAnsi="Calibri" w:cs="Calibri"/>
          <w:sz w:val="24"/>
          <w:szCs w:val="24"/>
        </w:rPr>
        <w:t xml:space="preserve"> </w:t>
      </w:r>
      <w:r w:rsidRPr="009F7995">
        <w:rPr>
          <w:rFonts w:ascii="Calibri" w:hAnsi="Calibri" w:cs="Calibri"/>
          <w:sz w:val="24"/>
          <w:szCs w:val="24"/>
        </w:rPr>
        <w:t xml:space="preserve">w ilości </w:t>
      </w:r>
      <w:r w:rsidR="008F619E" w:rsidRPr="009F7995">
        <w:rPr>
          <w:rFonts w:ascii="Calibri" w:hAnsi="Calibri" w:cs="Calibri"/>
          <w:sz w:val="24"/>
          <w:szCs w:val="24"/>
        </w:rPr>
        <w:t>–</w:t>
      </w:r>
      <w:r w:rsidRPr="009F7995">
        <w:rPr>
          <w:rFonts w:ascii="Calibri" w:hAnsi="Calibri" w:cs="Calibri"/>
          <w:sz w:val="24"/>
          <w:szCs w:val="24"/>
        </w:rPr>
        <w:t xml:space="preserve"> 97 szt.</w:t>
      </w:r>
    </w:p>
    <w:p w:rsidR="00AD39AF" w:rsidRPr="009F7995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>Dostawę licencji użytkownika IP(SIP) centrali Mitel MiVoice MX-One ver 6.3 SP6</w:t>
      </w:r>
      <w:r w:rsidR="008F619E" w:rsidRPr="009F7995">
        <w:rPr>
          <w:rFonts w:ascii="Calibri" w:hAnsi="Calibri" w:cs="Calibri"/>
          <w:sz w:val="24"/>
          <w:szCs w:val="24"/>
        </w:rPr>
        <w:t xml:space="preserve"> w ilości – 55 szt.</w:t>
      </w:r>
    </w:p>
    <w:p w:rsidR="00AD39AF" w:rsidRPr="009F7995" w:rsidRDefault="00AD39AF" w:rsidP="009F7995">
      <w:pPr>
        <w:numPr>
          <w:ilvl w:val="0"/>
          <w:numId w:val="1"/>
        </w:numPr>
        <w:spacing w:after="12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 xml:space="preserve">Licencja do obsługi głosu (aplikacja Agent) systemu MiContact Center Enterprise ver. 9.2 w ruchu przychodzącym w ilości </w:t>
      </w:r>
      <w:r w:rsidR="00451EFD" w:rsidRPr="009F7995">
        <w:rPr>
          <w:rFonts w:ascii="Calibri" w:hAnsi="Calibri" w:cs="Calibri"/>
          <w:sz w:val="24"/>
          <w:szCs w:val="24"/>
        </w:rPr>
        <w:t>–</w:t>
      </w:r>
      <w:r w:rsidRPr="009F7995">
        <w:rPr>
          <w:rFonts w:ascii="Calibri" w:hAnsi="Calibri" w:cs="Calibri"/>
          <w:sz w:val="24"/>
          <w:szCs w:val="24"/>
        </w:rPr>
        <w:t xml:space="preserve"> 8 szt. Licencja musi zawierać wszystkie konieczne składniki do poprawnego działania agenta</w:t>
      </w:r>
    </w:p>
    <w:p w:rsidR="00AD39AF" w:rsidRPr="009F7995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lastRenderedPageBreak/>
        <w:t>Licencja aplikacji</w:t>
      </w:r>
      <w:r w:rsidR="008F619E" w:rsidRPr="009F7995">
        <w:rPr>
          <w:rFonts w:ascii="Calibri" w:hAnsi="Calibri" w:cs="Calibri"/>
          <w:sz w:val="24"/>
          <w:szCs w:val="24"/>
        </w:rPr>
        <w:t xml:space="preserve"> </w:t>
      </w:r>
      <w:r w:rsidRPr="009F7995">
        <w:rPr>
          <w:rFonts w:ascii="Calibri" w:hAnsi="Calibri" w:cs="Calibri"/>
          <w:sz w:val="24"/>
          <w:szCs w:val="24"/>
        </w:rPr>
        <w:t xml:space="preserve">Chartify do graficznego przedstawienia zajętości agentów oraz wielkości kolejek w systemie MiContact Center Enterprise ver. 9.2 w ilości </w:t>
      </w:r>
      <w:r w:rsidR="008F619E" w:rsidRPr="009F7995">
        <w:rPr>
          <w:rFonts w:ascii="Calibri" w:hAnsi="Calibri" w:cs="Calibri"/>
          <w:sz w:val="24"/>
          <w:szCs w:val="24"/>
        </w:rPr>
        <w:t>–</w:t>
      </w:r>
      <w:r w:rsidRPr="009F7995">
        <w:rPr>
          <w:rFonts w:ascii="Calibri" w:hAnsi="Calibri" w:cs="Calibri"/>
          <w:sz w:val="24"/>
          <w:szCs w:val="24"/>
        </w:rPr>
        <w:t xml:space="preserve"> 2 szt.</w:t>
      </w:r>
    </w:p>
    <w:p w:rsidR="00AD39AF" w:rsidRPr="009F7995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 xml:space="preserve">Licencja aplikację do monitorowania i zarządzania (Information Manager i Configuration Manager) systemem MiContact Center Enterprise ver. 9.2 w ilości </w:t>
      </w:r>
      <w:r w:rsidR="00451EFD" w:rsidRPr="009F7995">
        <w:rPr>
          <w:rFonts w:ascii="Calibri" w:hAnsi="Calibri" w:cs="Calibri"/>
          <w:sz w:val="24"/>
          <w:szCs w:val="24"/>
        </w:rPr>
        <w:t>–</w:t>
      </w:r>
      <w:r w:rsidRPr="009F7995">
        <w:rPr>
          <w:rFonts w:ascii="Calibri" w:hAnsi="Calibri" w:cs="Calibri"/>
          <w:sz w:val="24"/>
          <w:szCs w:val="24"/>
        </w:rPr>
        <w:t xml:space="preserve"> 1 szt. Wraz z licencjami należy dostarczyć dedykowany laptop z systemem operacyjnym MS Windows 10 Pro lub równoważny o parametrach dostosowanych do obsługi tych aplikacji. Opis kryterium równoważności dołączono do opisu przedmiotu zamówienia jako pkt 1</w:t>
      </w:r>
      <w:r w:rsidR="005E0E7E" w:rsidRPr="009F7995">
        <w:rPr>
          <w:rFonts w:ascii="Calibri" w:hAnsi="Calibri" w:cs="Calibri"/>
          <w:sz w:val="24"/>
          <w:szCs w:val="24"/>
        </w:rPr>
        <w:t>7</w:t>
      </w:r>
      <w:r w:rsidRPr="009F7995">
        <w:rPr>
          <w:rFonts w:ascii="Calibri" w:hAnsi="Calibri" w:cs="Calibri"/>
          <w:sz w:val="24"/>
          <w:szCs w:val="24"/>
        </w:rPr>
        <w:t>.</w:t>
      </w:r>
    </w:p>
    <w:p w:rsidR="00AD39AF" w:rsidRPr="009F7995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>Komputer z systemem MS Windows 10 Pro lub równoważny, opis kryterium równoważności dołączono do opisu przedmiotu zamówienia jako pkt 1</w:t>
      </w:r>
      <w:r w:rsidR="005E0E7E" w:rsidRPr="009F7995">
        <w:rPr>
          <w:rFonts w:ascii="Calibri" w:hAnsi="Calibri" w:cs="Calibri"/>
          <w:sz w:val="24"/>
          <w:szCs w:val="24"/>
        </w:rPr>
        <w:t>7</w:t>
      </w:r>
      <w:r w:rsidR="008F619E" w:rsidRPr="009F7995">
        <w:rPr>
          <w:rFonts w:ascii="Calibri" w:hAnsi="Calibri" w:cs="Calibri"/>
          <w:sz w:val="24"/>
          <w:szCs w:val="24"/>
        </w:rPr>
        <w:t xml:space="preserve"> wraz z </w:t>
      </w:r>
      <w:r w:rsidRPr="009F7995">
        <w:rPr>
          <w:rFonts w:ascii="Calibri" w:hAnsi="Calibri" w:cs="Calibri"/>
          <w:sz w:val="24"/>
          <w:szCs w:val="24"/>
        </w:rPr>
        <w:t xml:space="preserve">zainstalowanym oprogramowaniem Chartify wyspecyfikowanym w pkt 8 oraz ekran o przekątnej min </w:t>
      </w:r>
      <w:smartTag w:uri="urn:schemas-microsoft-com:office:smarttags" w:element="metricconverter">
        <w:smartTagPr>
          <w:attr w:name="ProductID" w:val="5 m"/>
        </w:smartTagPr>
        <w:r w:rsidRPr="009F7995">
          <w:rPr>
            <w:rFonts w:ascii="Calibri" w:hAnsi="Calibri" w:cs="Calibri"/>
            <w:sz w:val="24"/>
            <w:szCs w:val="24"/>
          </w:rPr>
          <w:t>55 cali</w:t>
        </w:r>
      </w:smartTag>
      <w:r w:rsidRPr="009F7995">
        <w:rPr>
          <w:rFonts w:ascii="Calibri" w:hAnsi="Calibri" w:cs="Calibri"/>
          <w:sz w:val="24"/>
          <w:szCs w:val="24"/>
        </w:rPr>
        <w:t xml:space="preserve"> wraz z uchwytem ściennym w ilości </w:t>
      </w:r>
      <w:r w:rsidR="008F619E" w:rsidRPr="009F7995">
        <w:rPr>
          <w:rFonts w:ascii="Calibri" w:hAnsi="Calibri" w:cs="Calibri"/>
          <w:sz w:val="24"/>
          <w:szCs w:val="24"/>
        </w:rPr>
        <w:t>–</w:t>
      </w:r>
      <w:r w:rsidRPr="009F7995">
        <w:rPr>
          <w:rFonts w:ascii="Calibri" w:hAnsi="Calibri" w:cs="Calibri"/>
          <w:sz w:val="24"/>
          <w:szCs w:val="24"/>
        </w:rPr>
        <w:t xml:space="preserve"> 2 szt.</w:t>
      </w:r>
    </w:p>
    <w:p w:rsidR="00AD39AF" w:rsidRPr="009F7995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 xml:space="preserve">Licencje na podwójny kanał SIP Trunk dla systemu Mitel MX-One ver 6.3 oraz na jednoczesną sesje SIP do posiadanego urządzenia Audiocodes Mediant 2600 SBC ver. 7.2 w ilości </w:t>
      </w:r>
      <w:r w:rsidR="008F619E" w:rsidRPr="009F7995">
        <w:rPr>
          <w:rFonts w:ascii="Calibri" w:hAnsi="Calibri" w:cs="Calibri"/>
          <w:sz w:val="24"/>
          <w:szCs w:val="24"/>
        </w:rPr>
        <w:t>–</w:t>
      </w:r>
      <w:r w:rsidRPr="009F7995">
        <w:rPr>
          <w:rFonts w:ascii="Calibri" w:hAnsi="Calibri" w:cs="Calibri"/>
          <w:sz w:val="24"/>
          <w:szCs w:val="24"/>
        </w:rPr>
        <w:t xml:space="preserve"> 60 szt.</w:t>
      </w:r>
    </w:p>
    <w:p w:rsidR="00AD39AF" w:rsidRPr="009F7995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 xml:space="preserve">Licencje dla posiadanego systemu rejestratora rozmów Mitel MiVoice Call Recording ver. 9.2 w ilości </w:t>
      </w:r>
      <w:r w:rsidR="008F619E" w:rsidRPr="009F7995">
        <w:rPr>
          <w:rFonts w:ascii="Calibri" w:hAnsi="Calibri" w:cs="Calibri"/>
          <w:sz w:val="24"/>
          <w:szCs w:val="24"/>
        </w:rPr>
        <w:t>–</w:t>
      </w:r>
      <w:r w:rsidRPr="009F7995">
        <w:rPr>
          <w:rFonts w:ascii="Calibri" w:hAnsi="Calibri" w:cs="Calibri"/>
          <w:sz w:val="24"/>
          <w:szCs w:val="24"/>
        </w:rPr>
        <w:t xml:space="preserve"> 30 szt. </w:t>
      </w:r>
    </w:p>
    <w:p w:rsidR="00AD39AF" w:rsidRPr="008F619E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 xml:space="preserve">Prace instalacyjne i konfiguracyjne w centrali Mitel MiVoice MX-One, systemie MiContact Center Enterprise, Mivoice Call Recording oraz Audiocodes Mediant 2600 SBC oraz montaż telefonów z pkt. 4, 7 i 8 we wskazanym przez zamawiającego miejscu wraz z dostawą kabli sieciowych LAN o długościach 3 lub </w:t>
      </w:r>
      <w:smartTag w:uri="urn:schemas-microsoft-com:office:smarttags" w:element="metricconverter">
        <w:smartTagPr>
          <w:attr w:name="ProductID" w:val="5 m"/>
        </w:smartTagPr>
        <w:r w:rsidRPr="008F619E">
          <w:rPr>
            <w:rFonts w:ascii="Calibri" w:hAnsi="Calibri" w:cs="Calibri"/>
            <w:sz w:val="24"/>
            <w:szCs w:val="24"/>
          </w:rPr>
          <w:t>5 m</w:t>
        </w:r>
      </w:smartTag>
      <w:r w:rsidRPr="008F619E">
        <w:rPr>
          <w:rFonts w:ascii="Calibri" w:hAnsi="Calibri" w:cs="Calibri"/>
          <w:sz w:val="24"/>
          <w:szCs w:val="24"/>
        </w:rPr>
        <w:t xml:space="preserve">. </w:t>
      </w:r>
    </w:p>
    <w:p w:rsidR="00AD39AF" w:rsidRPr="008F619E" w:rsidRDefault="00AD39AF" w:rsidP="009F7995">
      <w:pPr>
        <w:numPr>
          <w:ilvl w:val="0"/>
          <w:numId w:val="1"/>
        </w:numPr>
        <w:spacing w:after="240" w:line="312" w:lineRule="auto"/>
        <w:ind w:left="425" w:hanging="425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Wykonanie kopii bezpieczeństwa, instalacji</w:t>
      </w:r>
      <w:r w:rsidR="008F619E" w:rsidRPr="008F619E">
        <w:rPr>
          <w:rFonts w:ascii="Calibri" w:hAnsi="Calibri" w:cs="Calibri"/>
          <w:sz w:val="24"/>
          <w:szCs w:val="24"/>
        </w:rPr>
        <w:t xml:space="preserve"> </w:t>
      </w:r>
      <w:r w:rsidRPr="008F619E">
        <w:rPr>
          <w:rFonts w:ascii="Calibri" w:hAnsi="Calibri" w:cs="Calibri"/>
          <w:sz w:val="24"/>
          <w:szCs w:val="24"/>
        </w:rPr>
        <w:t>wszystkich wymaganych licencji oraz sprawdzeniem poprawności działania centrali telefonicznej.</w:t>
      </w:r>
    </w:p>
    <w:p w:rsidR="00AD39AF" w:rsidRPr="008F619E" w:rsidRDefault="00AD39AF" w:rsidP="009F7995">
      <w:pPr>
        <w:numPr>
          <w:ilvl w:val="0"/>
          <w:numId w:val="1"/>
        </w:numPr>
        <w:spacing w:after="12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8F619E">
        <w:rPr>
          <w:rFonts w:ascii="Calibri" w:hAnsi="Calibri" w:cs="Calibri"/>
          <w:sz w:val="24"/>
          <w:szCs w:val="24"/>
        </w:rPr>
        <w:t>Instalacja najnowszych dostępnych i rekomendowanych poprawek (hotfix, service pack) do posiadanych przez Urząd Miasta Poznania systemów:</w:t>
      </w:r>
    </w:p>
    <w:p w:rsidR="00AD39AF" w:rsidRPr="009F7995" w:rsidRDefault="00AD39AF" w:rsidP="009F7995">
      <w:pPr>
        <w:pStyle w:val="Akapitzlist"/>
        <w:numPr>
          <w:ilvl w:val="0"/>
          <w:numId w:val="12"/>
        </w:numPr>
        <w:spacing w:after="120" w:line="312" w:lineRule="auto"/>
        <w:ind w:left="851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>Mitel MiVoice MX-One 6.3</w:t>
      </w:r>
    </w:p>
    <w:p w:rsidR="00AD39AF" w:rsidRPr="009F7995" w:rsidRDefault="00AD39AF" w:rsidP="009F7995">
      <w:pPr>
        <w:pStyle w:val="Akapitzlist"/>
        <w:numPr>
          <w:ilvl w:val="0"/>
          <w:numId w:val="12"/>
        </w:numPr>
        <w:spacing w:after="120" w:line="312" w:lineRule="auto"/>
        <w:ind w:left="851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>Mitel MiContact Center Enterprise 9.2</w:t>
      </w:r>
    </w:p>
    <w:p w:rsidR="00AD39AF" w:rsidRPr="009F7995" w:rsidRDefault="00AD39AF" w:rsidP="009F7995">
      <w:pPr>
        <w:pStyle w:val="Akapitzlist"/>
        <w:numPr>
          <w:ilvl w:val="0"/>
          <w:numId w:val="12"/>
        </w:numPr>
        <w:spacing w:after="120" w:line="312" w:lineRule="auto"/>
        <w:ind w:left="851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>MiVoice Call Recording 9.2</w:t>
      </w:r>
    </w:p>
    <w:p w:rsidR="00AD39AF" w:rsidRPr="009F7995" w:rsidRDefault="00AD39AF" w:rsidP="009F7995">
      <w:pPr>
        <w:pStyle w:val="Akapitzlist"/>
        <w:numPr>
          <w:ilvl w:val="0"/>
          <w:numId w:val="12"/>
        </w:numPr>
        <w:spacing w:after="120" w:line="312" w:lineRule="auto"/>
        <w:ind w:left="851"/>
        <w:rPr>
          <w:rFonts w:ascii="Calibri" w:hAnsi="Calibri" w:cs="Calibri"/>
          <w:sz w:val="24"/>
          <w:szCs w:val="24"/>
        </w:rPr>
      </w:pPr>
      <w:r w:rsidRPr="009F7995">
        <w:rPr>
          <w:rFonts w:ascii="Calibri" w:hAnsi="Calibri" w:cs="Calibri"/>
          <w:sz w:val="24"/>
          <w:szCs w:val="24"/>
        </w:rPr>
        <w:t>Audiocodes Mediant 2600 SBC 7.2</w:t>
      </w:r>
      <w:bookmarkStart w:id="2" w:name="_heading=h.30j0zll" w:colFirst="0" w:colLast="0"/>
      <w:bookmarkEnd w:id="2"/>
    </w:p>
    <w:p w:rsidR="005E0E7E" w:rsidRPr="009F7995" w:rsidRDefault="005E0E7E" w:rsidP="009F7995">
      <w:pPr>
        <w:pStyle w:val="Nagwek1"/>
        <w:spacing w:before="0" w:after="240" w:line="276" w:lineRule="auto"/>
        <w:ind w:left="426" w:hanging="426"/>
        <w:rPr>
          <w:b w:val="0"/>
        </w:rPr>
      </w:pPr>
      <w:r w:rsidRPr="009F7995">
        <w:rPr>
          <w:b w:val="0"/>
        </w:rPr>
        <w:t>Zamawiający nie dopuszcza instalacji innego systemu MiVoice MX-One ver. 6.3 SP6 , MiContact Center Enterprise ver. 9.2 , Mitel MiVoice Call Recorder ver. 9.2 SP5, Chartify niezależnie od stopnia jego równoważności w zakresie oferowanych funkcjonalności użytkowych czy technicznych.</w:t>
      </w:r>
    </w:p>
    <w:p w:rsidR="009F7995" w:rsidRPr="009F7995" w:rsidRDefault="009F7995" w:rsidP="009F7995">
      <w:pPr>
        <w:pStyle w:val="Nagwek1"/>
        <w:spacing w:before="0" w:after="120" w:line="276" w:lineRule="auto"/>
        <w:ind w:left="425" w:hanging="425"/>
        <w:rPr>
          <w:rFonts w:ascii="Calibri" w:hAnsi="Calibri" w:cs="Calibri"/>
          <w:b w:val="0"/>
          <w:bCs w:val="0"/>
          <w:szCs w:val="24"/>
        </w:rPr>
      </w:pPr>
      <w:r w:rsidRPr="009F7995">
        <w:rPr>
          <w:rFonts w:ascii="Calibri" w:hAnsi="Calibri" w:cs="Calibri"/>
          <w:b w:val="0"/>
          <w:bCs w:val="0"/>
          <w:szCs w:val="24"/>
        </w:rPr>
        <w:lastRenderedPageBreak/>
        <w:t>Opis równoważności dla oprogramowania typu MS Windows 10 Professional 64bit PL lub równoważnego, spełniającego poniższe warunki:</w:t>
      </w:r>
    </w:p>
    <w:p w:rsidR="00AD39AF" w:rsidRP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System operacyjny dla komputerów przenośnych, z graf</w:t>
      </w:r>
      <w:r w:rsidR="00451EFD" w:rsidRPr="009F7995">
        <w:rPr>
          <w:rFonts w:ascii="Calibri" w:hAnsi="Calibri" w:cs="Calibri"/>
          <w:sz w:val="24"/>
        </w:rPr>
        <w:t>icznym interfejsem użytkownika,</w:t>
      </w:r>
    </w:p>
    <w:p w:rsidR="00AD39AF" w:rsidRPr="008F619E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8F619E">
        <w:rPr>
          <w:rFonts w:ascii="Calibri" w:hAnsi="Calibri" w:cs="Calibri"/>
          <w:sz w:val="24"/>
        </w:rPr>
        <w:t>System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operacyjny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ma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pozwalać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na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uruchomienie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i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pracę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z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aplikacjami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Pr="008F619E">
        <w:rPr>
          <w:rFonts w:ascii="Calibri" w:hAnsi="Calibri" w:cs="Calibri"/>
          <w:sz w:val="24"/>
        </w:rPr>
        <w:t>użytkowanymi</w:t>
      </w:r>
      <w:r w:rsidR="008F619E" w:rsidRPr="008F619E">
        <w:rPr>
          <w:rFonts w:ascii="Calibri" w:hAnsi="Calibri" w:cs="Calibri"/>
          <w:sz w:val="24"/>
        </w:rPr>
        <w:t xml:space="preserve"> </w:t>
      </w:r>
      <w:r w:rsidR="00451EFD">
        <w:rPr>
          <w:rFonts w:ascii="Calibri" w:hAnsi="Calibri" w:cs="Calibri"/>
          <w:sz w:val="24"/>
        </w:rPr>
        <w:t>przez Zamawiającego,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8F619E">
        <w:rPr>
          <w:rFonts w:ascii="Calibri" w:hAnsi="Calibri" w:cs="Calibri"/>
          <w:sz w:val="24"/>
        </w:rPr>
        <w:t>System ma udostępniać dwa rodzaje graf</w:t>
      </w:r>
      <w:r w:rsidR="00451EFD">
        <w:rPr>
          <w:rFonts w:ascii="Calibri" w:hAnsi="Calibri" w:cs="Calibri"/>
          <w:sz w:val="24"/>
        </w:rPr>
        <w:t>icznego interfejsu użytkownika: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Interfejsy użytkownika dostępne w wielu językach do wyboru – w tym polskim i angielskim,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Zlokalizowane w języku polskim, co najmniej następujące elementy: menu, odtwarzacz multimediów, pomoc, komunikaty systemowe,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 xml:space="preserve">Wbudowany </w:t>
      </w:r>
      <w:r w:rsidR="008F619E" w:rsidRPr="009F7995">
        <w:rPr>
          <w:rFonts w:ascii="Calibri" w:hAnsi="Calibri" w:cs="Calibri"/>
          <w:sz w:val="24"/>
        </w:rPr>
        <w:t>system pomocy w języku polskim,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Graficzne środowisko instalacji i konfiguracji dostępne w języku polskim,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Możliwość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dokonywania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aktualizacji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poprawek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systemu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poprzez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mechanizm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zarządzany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przez admini</w:t>
      </w:r>
      <w:r w:rsidR="008F619E" w:rsidRPr="009F7995">
        <w:rPr>
          <w:rFonts w:ascii="Calibri" w:hAnsi="Calibri" w:cs="Calibri"/>
          <w:sz w:val="24"/>
        </w:rPr>
        <w:t>stratora systemu Zamawiającego,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Dostępność bezpłatnych biuletynów bezpieczeństwa związanych z działaniem systemu operacyjnego,</w:t>
      </w:r>
      <w:r w:rsidR="008F619E" w:rsidRPr="009F7995">
        <w:rPr>
          <w:rFonts w:ascii="Calibri" w:hAnsi="Calibri" w:cs="Calibri"/>
          <w:sz w:val="24"/>
        </w:rPr>
        <w:t xml:space="preserve"> 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Wbudowana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zapora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internetowa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(firewall)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dla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ochrony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połączeń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internetowych;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zintegrowana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 systemem konsola do zarządzania ustawie</w:t>
      </w:r>
      <w:r w:rsidR="008F619E" w:rsidRPr="009F7995">
        <w:rPr>
          <w:rFonts w:ascii="Calibri" w:hAnsi="Calibri" w:cs="Calibri"/>
          <w:sz w:val="24"/>
        </w:rPr>
        <w:t>niami zapory i regułami IP v4 i </w:t>
      </w:r>
      <w:r w:rsidRPr="009F7995">
        <w:rPr>
          <w:rFonts w:ascii="Calibri" w:hAnsi="Calibri" w:cs="Calibri"/>
          <w:sz w:val="24"/>
        </w:rPr>
        <w:t>v6;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Wbudowane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mechanizmy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ochrony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antywirusowej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przeciw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złośliwemu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oprogramowaniu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 zapewnion</w:t>
      </w:r>
      <w:r w:rsidR="009F7995">
        <w:rPr>
          <w:rFonts w:ascii="Calibri" w:hAnsi="Calibri" w:cs="Calibri"/>
          <w:sz w:val="24"/>
        </w:rPr>
        <w:t>ymi bezpłatnymi aktualizacjami,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Wsparcie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dla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większości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powszechnie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używanych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urządzeń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peryferyjnych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(drukarek,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urządzeń sieciowych, standardów USB, Plug&amp;Play, Wi-Fi),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Funkcjonalność automatycznej zmiany domyślnej drukarki w zależności od sieci, do której podłączony jest komputer,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Możliwość zarządzania stacją roboczą poprzez polityki grupowe – przez politykę rozumiemy zestaw reguł definiujących lub ograniczających funkcjonalność systemu lub aplikacji,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Rozbudowane,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definiowalne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polityki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bezpieczeństwa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–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polityki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dla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systemu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operacyjnego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i</w:t>
      </w:r>
      <w:r w:rsidR="009F7995">
        <w:rPr>
          <w:rFonts w:ascii="Calibri" w:hAnsi="Calibri" w:cs="Calibri"/>
          <w:sz w:val="24"/>
        </w:rPr>
        <w:t> </w:t>
      </w:r>
      <w:r w:rsidRPr="009F7995">
        <w:rPr>
          <w:rFonts w:ascii="Calibri" w:hAnsi="Calibri" w:cs="Calibri"/>
          <w:sz w:val="24"/>
        </w:rPr>
        <w:t>dla wskazanych aplikacji,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lastRenderedPageBreak/>
        <w:t>Możliwość zdalnej automatycznej instalacji, konfig</w:t>
      </w:r>
      <w:r w:rsidR="009F7995" w:rsidRPr="009F7995">
        <w:rPr>
          <w:rFonts w:ascii="Calibri" w:hAnsi="Calibri" w:cs="Calibri"/>
          <w:sz w:val="24"/>
        </w:rPr>
        <w:t xml:space="preserve">uracji, administrowania </w:t>
      </w:r>
      <w:r w:rsidRPr="009F7995">
        <w:rPr>
          <w:rFonts w:ascii="Calibri" w:hAnsi="Calibri" w:cs="Calibri"/>
          <w:sz w:val="24"/>
        </w:rPr>
        <w:t>oraz aktualizowania systemu, zgodnie z ok</w:t>
      </w:r>
      <w:r w:rsidR="009F7995">
        <w:rPr>
          <w:rFonts w:ascii="Calibri" w:hAnsi="Calibri" w:cs="Calibri"/>
          <w:sz w:val="24"/>
        </w:rPr>
        <w:t>reślonymi uprawnieniami poprzez </w:t>
      </w:r>
      <w:r w:rsidRPr="009F7995">
        <w:rPr>
          <w:rFonts w:ascii="Calibri" w:hAnsi="Calibri" w:cs="Calibri"/>
          <w:sz w:val="24"/>
        </w:rPr>
        <w:t>polityki grupowe,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Zabezpieczony hasłem hierarchiczny dostęp do systemu, konta i profile użytkowników zarządzane zdalnie; praca systemu w trybie ochrony kont użytkowników.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Zintegrowany z systemem moduł wyszukiwania informacji (plików różnego typu, tekstów, metadanych) dostępny z kilku poziomów: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a)poziom menu,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b)poziom otwar</w:t>
      </w:r>
      <w:r w:rsidR="008F619E" w:rsidRPr="009F7995">
        <w:rPr>
          <w:rFonts w:ascii="Calibri" w:hAnsi="Calibri" w:cs="Calibri"/>
          <w:sz w:val="24"/>
        </w:rPr>
        <w:t>tego okna systemu operacyjnego;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System wyszukiwania oparty na konfigurowalnym przez użytkownika module indeksacji zasobów lokalnych</w:t>
      </w:r>
      <w:r w:rsidR="008F619E" w:rsidRPr="009F7995">
        <w:rPr>
          <w:rFonts w:ascii="Calibri" w:hAnsi="Calibri" w:cs="Calibri"/>
          <w:sz w:val="24"/>
        </w:rPr>
        <w:t>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Zintegrowany z systemem operacyjnym moduł synchronizacji kompute</w:t>
      </w:r>
      <w:r w:rsidR="008F619E" w:rsidRPr="009F7995">
        <w:rPr>
          <w:rFonts w:ascii="Calibri" w:hAnsi="Calibri" w:cs="Calibri"/>
          <w:sz w:val="24"/>
        </w:rPr>
        <w:t>ra z urządzeniami zewnętrznymi.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Obsługa standardu NFC (near field communication),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Możliwość przystosowania stanowiska dla osób niepełnosprawnych (np. słabo widzących);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Wsparcie dla IPSEC oparte na politykach – wdrażanie IPSEC oparte na zestawach reguł definiujących ustawienia z</w:t>
      </w:r>
      <w:r w:rsidR="00451EFD" w:rsidRPr="009F7995">
        <w:rPr>
          <w:rFonts w:ascii="Calibri" w:hAnsi="Calibri" w:cs="Calibri"/>
          <w:sz w:val="24"/>
        </w:rPr>
        <w:t>arządzanych w sposób centralny;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Mechanizmy logowania do domeny w oparciu o: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Mechanizmy wiel</w:t>
      </w:r>
      <w:r w:rsidR="00451EFD" w:rsidRPr="009F7995">
        <w:rPr>
          <w:rFonts w:ascii="Calibri" w:hAnsi="Calibri" w:cs="Calibri"/>
          <w:sz w:val="24"/>
        </w:rPr>
        <w:t>oelementowego uwierzytelniania.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Wsparcie do uwierzytelnienia u</w:t>
      </w:r>
      <w:r w:rsidR="00451EFD" w:rsidRPr="009F7995">
        <w:rPr>
          <w:rFonts w:ascii="Calibri" w:hAnsi="Calibri" w:cs="Calibri"/>
          <w:sz w:val="24"/>
        </w:rPr>
        <w:t>rządzenia na bazie certyfikatu,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Wsparcie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wbudowanej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zapory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ogniowej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dla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Internet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Key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Exchange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v.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2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(IKEv2)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dla warstwy transportowej IPsec,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Wbudowane narzędzia służące do administracji, do wykonywania kopii zapasowych polityk i ich odtwarzania oraz generowania raportów z ustawień polityk;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Wsparcie dla środowisk Java i .NET Framework 4.x – możliwość uruchomienia aplikacji działając</w:t>
      </w:r>
      <w:r w:rsidR="008F619E" w:rsidRPr="009F7995">
        <w:rPr>
          <w:rFonts w:ascii="Calibri" w:hAnsi="Calibri" w:cs="Calibri"/>
          <w:sz w:val="24"/>
        </w:rPr>
        <w:t>ych we wskazanych środowiskach,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Wsparcie dla JScript i VBScript – możliwość uruchamiania interpretera poleceń,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Zdalna pomoc i współdzielenie aplikacji – możliwość zdalnego przejęcia sesji zalogowanego użytkownika celem rozwiązania problemu z komputerem,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Rozwiązanie służące do automatycznego zbudowania obrazu systemu wraz z aplikacjami. Obraz systemu służyć ma do automatycznego upowszechnienia systemu operacyjnego inicjowanego i wykonywanego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w całości poprzez sieć komputerową,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Rozwiązanie ma umożliwiające wdrożenie nowego ob</w:t>
      </w:r>
      <w:r w:rsidR="008F619E" w:rsidRPr="009F7995">
        <w:rPr>
          <w:rFonts w:ascii="Calibri" w:hAnsi="Calibri" w:cs="Calibri"/>
          <w:sz w:val="24"/>
        </w:rPr>
        <w:t>razu poprzez zdalną instalację,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lastRenderedPageBreak/>
        <w:t>Transakcyjny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system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plików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pozwalający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na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stosowanie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przydziałów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(ang.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quota)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na dysku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dla użytkowników oraz zapewniający większą niezawodność i pozwalający tworzyć kopie zapasowe,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Zarządzanie kontami użytkowników sieci oraz urządzeniami sieciowymi tj. drukarki, modemy, wolum</w:t>
      </w:r>
      <w:r w:rsidR="008F619E" w:rsidRPr="009F7995">
        <w:rPr>
          <w:rFonts w:ascii="Calibri" w:hAnsi="Calibri" w:cs="Calibri"/>
          <w:sz w:val="24"/>
        </w:rPr>
        <w:t>iny dyskowe, usługi katalogowe.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Oprogramowanie dla tworzenia kopii zapasowych (Backup); automatyczne wykonywanie kopii plików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 możliwością automatycznego przywrócenia wersji wcześniejszej,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Możliwość przywracania obrazu plików systemowych do uprzednio zapisanej postaci,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Identyfikacja sieci komputerowych, do których jest podłączony system operacyjny, zapamiętywanie ustawień i przypisywanie do min. 3 kategorii bezpieczeństwa (z predefiniowanymi odpowiednio do kategorii ustawieniami zapory sieciowej, udostępniania plików itp.),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Możliwość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blokowania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lub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dopuszczania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dowolnych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urządzeń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peryferyjnych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za pomocą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polityk grupowych (np. przy użyciu numerów identyfikacyjnych sprzętu),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Wbudowany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mechanizm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wirtualizacji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typu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hypervisor,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umożliwiający,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zgodnie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 uprawnieniami licencyjnymi, uruchomienie do 4 maszyn wirtualnych,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Mechanizm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szyfrowania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dysków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wewnętrznych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i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zewnętrznych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z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możliwością</w:t>
      </w:r>
      <w:r w:rsidR="008F619E" w:rsidRPr="009F7995">
        <w:rPr>
          <w:rFonts w:ascii="Calibri" w:hAnsi="Calibri" w:cs="Calibri"/>
          <w:sz w:val="24"/>
        </w:rPr>
        <w:t xml:space="preserve"> </w:t>
      </w:r>
      <w:r w:rsidRPr="009F7995">
        <w:rPr>
          <w:rFonts w:ascii="Calibri" w:hAnsi="Calibri" w:cs="Calibri"/>
          <w:sz w:val="24"/>
        </w:rPr>
        <w:t>szyfrowania ograniczonego do danych użytkownika,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Wbudowane w system narzędzie do szyfrowania partycji systemowych komputera, z możliwością przechowywania certyfikatów w mikrochipie TPM (Trusted Platform Module) w wersji minimum 1.2 lub na kluczach pamięci przenośnej USB.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Wbudowane w system narzędzie do szyfrowania dysków przenośnych, z możliwością centralnego zarządzania poprzez polityki grupowe, pozwalające na wymuszenie</w:t>
      </w:r>
      <w:r w:rsidR="008F619E" w:rsidRPr="009F7995">
        <w:rPr>
          <w:rFonts w:ascii="Calibri" w:hAnsi="Calibri" w:cs="Calibri"/>
          <w:sz w:val="24"/>
        </w:rPr>
        <w:t xml:space="preserve"> szyfrowania dysków przenośnych</w:t>
      </w:r>
    </w:p>
    <w:p w:rsid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</w:rPr>
        <w:t>Możliwość tworzenia i przechowywania kopii zapasowych kluczy odzyskiwania do szyfrowania pa</w:t>
      </w:r>
      <w:r w:rsidR="008F619E" w:rsidRPr="009F7995">
        <w:rPr>
          <w:rFonts w:ascii="Calibri" w:hAnsi="Calibri" w:cs="Calibri"/>
          <w:sz w:val="24"/>
        </w:rPr>
        <w:t>rtycji w usługach katalogowych.</w:t>
      </w:r>
    </w:p>
    <w:p w:rsidR="00AD39AF" w:rsidRPr="009F7995" w:rsidRDefault="00AD39AF" w:rsidP="009F7995">
      <w:pPr>
        <w:pStyle w:val="Akapitzlist"/>
        <w:numPr>
          <w:ilvl w:val="0"/>
          <w:numId w:val="11"/>
        </w:numPr>
        <w:suppressAutoHyphens w:val="0"/>
        <w:spacing w:after="120" w:line="312" w:lineRule="auto"/>
        <w:ind w:left="851"/>
        <w:rPr>
          <w:rFonts w:ascii="Calibri" w:hAnsi="Calibri" w:cs="Calibri"/>
          <w:sz w:val="24"/>
        </w:rPr>
      </w:pPr>
      <w:r w:rsidRPr="009F7995">
        <w:rPr>
          <w:rFonts w:ascii="Calibri" w:hAnsi="Calibri" w:cs="Calibri"/>
          <w:sz w:val="24"/>
          <w:szCs w:val="24"/>
        </w:rPr>
        <w:t>Możliwość instalowania dodatkowych języków interfejsu systemu operacyjnego oraz możliwość zmiany języka bez konieczności reinstalacji systemu.</w:t>
      </w:r>
    </w:p>
    <w:sectPr w:rsidR="00AD39AF" w:rsidRPr="009F7995" w:rsidSect="00653EE3">
      <w:headerReference w:type="default" r:id="rId7"/>
      <w:footerReference w:type="default" r:id="rId8"/>
      <w:pgSz w:w="11905" w:h="16837"/>
      <w:pgMar w:top="1248" w:right="1273" w:bottom="1135" w:left="851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AF" w:rsidRDefault="00AD39AF" w:rsidP="00653EE3">
      <w:r>
        <w:separator/>
      </w:r>
    </w:p>
  </w:endnote>
  <w:endnote w:type="continuationSeparator" w:id="0">
    <w:p w:rsidR="00AD39AF" w:rsidRDefault="00AD39AF" w:rsidP="0065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AF" w:rsidRDefault="00AD39AF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995">
      <w:rPr>
        <w:noProof/>
        <w:color w:val="000000"/>
      </w:rPr>
      <w:t>6</w:t>
    </w:r>
    <w:r>
      <w:rPr>
        <w:color w:val="000000"/>
      </w:rPr>
      <w:fldChar w:fldCharType="end"/>
    </w:r>
  </w:p>
  <w:p w:rsidR="00AD39AF" w:rsidRDefault="00AD39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AF" w:rsidRDefault="00AD39AF" w:rsidP="00653EE3">
      <w:r>
        <w:separator/>
      </w:r>
    </w:p>
  </w:footnote>
  <w:footnote w:type="continuationSeparator" w:id="0">
    <w:p w:rsidR="00AD39AF" w:rsidRDefault="00AD39AF" w:rsidP="0065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AF" w:rsidRPr="008F619E" w:rsidRDefault="00AD39AF">
    <w:pPr>
      <w:tabs>
        <w:tab w:val="center" w:pos="4818"/>
        <w:tab w:val="right" w:pos="9637"/>
      </w:tabs>
      <w:jc w:val="right"/>
      <w:rPr>
        <w:rFonts w:asciiTheme="minorHAnsi" w:hAnsiTheme="minorHAnsi" w:cstheme="minorHAnsi"/>
        <w:color w:val="000000"/>
        <w:sz w:val="22"/>
      </w:rPr>
    </w:pPr>
    <w:r w:rsidRPr="008F619E">
      <w:rPr>
        <w:rFonts w:asciiTheme="minorHAnsi" w:hAnsiTheme="minorHAnsi" w:cstheme="minorHAnsi"/>
        <w:color w:val="000000"/>
        <w:sz w:val="22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D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C0076F"/>
    <w:multiLevelType w:val="hybridMultilevel"/>
    <w:tmpl w:val="D83C13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F14C6"/>
    <w:multiLevelType w:val="hybridMultilevel"/>
    <w:tmpl w:val="5622A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1EFA"/>
    <w:multiLevelType w:val="hybridMultilevel"/>
    <w:tmpl w:val="37144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A0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D875E5D"/>
    <w:multiLevelType w:val="multilevel"/>
    <w:tmpl w:val="2918EED6"/>
    <w:lvl w:ilvl="0">
      <w:start w:val="1"/>
      <w:numFmt w:val="decimal"/>
      <w:pStyle w:val="Nagwek1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b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sz w:val="24"/>
        <w:szCs w:val="24"/>
      </w:rPr>
    </w:lvl>
    <w:lvl w:ilvl="3">
      <w:start w:val="1"/>
      <w:numFmt w:val="bullet"/>
      <w:lvlText w:val="✔"/>
      <w:lvlJc w:val="left"/>
      <w:pPr>
        <w:ind w:left="1800" w:hanging="360"/>
      </w:pPr>
      <w:rPr>
        <w:rFonts w:ascii="Noto Sans Symbols" w:eastAsia="Times New Roman" w:hAnsi="Noto Sans Symbols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54E776C6"/>
    <w:multiLevelType w:val="multilevel"/>
    <w:tmpl w:val="A968A010"/>
    <w:lvl w:ilvl="0">
      <w:start w:val="1"/>
      <w:numFmt w:val="bullet"/>
      <w:lvlText w:val="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7" w15:restartNumberingAfterBreak="0">
    <w:nsid w:val="67987B09"/>
    <w:multiLevelType w:val="hybridMultilevel"/>
    <w:tmpl w:val="B9E869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B5411A"/>
    <w:multiLevelType w:val="hybridMultilevel"/>
    <w:tmpl w:val="7CDEF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2B088B"/>
    <w:multiLevelType w:val="hybridMultilevel"/>
    <w:tmpl w:val="DF40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3"/>
    <w:rsid w:val="000710D8"/>
    <w:rsid w:val="00092EE6"/>
    <w:rsid w:val="00142C5F"/>
    <w:rsid w:val="002740D8"/>
    <w:rsid w:val="002909F5"/>
    <w:rsid w:val="00311811"/>
    <w:rsid w:val="00325FCC"/>
    <w:rsid w:val="00387D27"/>
    <w:rsid w:val="003E2754"/>
    <w:rsid w:val="00442049"/>
    <w:rsid w:val="00451EFD"/>
    <w:rsid w:val="0048039D"/>
    <w:rsid w:val="00582C90"/>
    <w:rsid w:val="00594B94"/>
    <w:rsid w:val="005A6D62"/>
    <w:rsid w:val="005E0E7E"/>
    <w:rsid w:val="00653EE3"/>
    <w:rsid w:val="007F0700"/>
    <w:rsid w:val="00801C33"/>
    <w:rsid w:val="0085153D"/>
    <w:rsid w:val="008F58E4"/>
    <w:rsid w:val="008F619E"/>
    <w:rsid w:val="0092202D"/>
    <w:rsid w:val="009F7995"/>
    <w:rsid w:val="00A02462"/>
    <w:rsid w:val="00A4469C"/>
    <w:rsid w:val="00AD39AF"/>
    <w:rsid w:val="00B75C6A"/>
    <w:rsid w:val="00B8352F"/>
    <w:rsid w:val="00C12DAA"/>
    <w:rsid w:val="00EA4F93"/>
    <w:rsid w:val="00F20253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E3CFC"/>
  <w15:docId w15:val="{59AC2E01-6E7D-4DC4-8DB6-DEED76FB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0D8"/>
    <w:pPr>
      <w:suppressAutoHyphens/>
    </w:pPr>
    <w:rPr>
      <w:kern w:val="1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7995"/>
    <w:pPr>
      <w:numPr>
        <w:numId w:val="1"/>
      </w:numPr>
      <w:spacing w:before="28" w:after="28"/>
      <w:outlineLvl w:val="0"/>
    </w:pPr>
    <w:rPr>
      <w:rFonts w:asciiTheme="minorHAnsi" w:hAnsiTheme="minorHAnsi"/>
      <w:b/>
      <w:bCs/>
      <w:sz w:val="24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653E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653E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653E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653E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653EE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7995"/>
    <w:rPr>
      <w:rFonts w:asciiTheme="minorHAnsi" w:hAnsiTheme="minorHAnsi"/>
      <w:b/>
      <w:bCs/>
      <w:kern w:val="1"/>
      <w:sz w:val="24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75C6A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75C6A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75C6A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75C6A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75C6A"/>
    <w:rPr>
      <w:rFonts w:ascii="Calibri" w:hAnsi="Calibri" w:cs="Times New Roman"/>
      <w:b/>
      <w:bCs/>
      <w:kern w:val="1"/>
      <w:lang w:eastAsia="ar-SA" w:bidi="ar-SA"/>
    </w:rPr>
  </w:style>
  <w:style w:type="paragraph" w:customStyle="1" w:styleId="Normalny1">
    <w:name w:val="Normalny1"/>
    <w:uiPriority w:val="99"/>
    <w:rsid w:val="00653EE3"/>
    <w:rPr>
      <w:sz w:val="20"/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0710D8"/>
    <w:pPr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B75C6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Domylnaczcionkaakapitu1">
    <w:name w:val="Domyślna czcionka akapitu1"/>
    <w:uiPriority w:val="99"/>
    <w:rsid w:val="000710D8"/>
  </w:style>
  <w:style w:type="character" w:customStyle="1" w:styleId="WW8Num2z2">
    <w:name w:val="WW8Num2z2"/>
    <w:uiPriority w:val="99"/>
    <w:rsid w:val="000710D8"/>
  </w:style>
  <w:style w:type="character" w:customStyle="1" w:styleId="WW8Num3z0">
    <w:name w:val="WW8Num3z0"/>
    <w:uiPriority w:val="99"/>
    <w:rsid w:val="000710D8"/>
  </w:style>
  <w:style w:type="character" w:customStyle="1" w:styleId="WW8Num3z1">
    <w:name w:val="WW8Num3z1"/>
    <w:uiPriority w:val="99"/>
    <w:rsid w:val="000710D8"/>
  </w:style>
  <w:style w:type="character" w:customStyle="1" w:styleId="WW8Num4z2">
    <w:name w:val="WW8Num4z2"/>
    <w:uiPriority w:val="99"/>
    <w:rsid w:val="000710D8"/>
  </w:style>
  <w:style w:type="character" w:customStyle="1" w:styleId="WW8Num5z2">
    <w:name w:val="WW8Num5z2"/>
    <w:uiPriority w:val="99"/>
    <w:rsid w:val="000710D8"/>
  </w:style>
  <w:style w:type="character" w:customStyle="1" w:styleId="WW8Num6z1">
    <w:name w:val="WW8Num6z1"/>
    <w:uiPriority w:val="99"/>
    <w:rsid w:val="000710D8"/>
  </w:style>
  <w:style w:type="character" w:customStyle="1" w:styleId="WW8Num7z1">
    <w:name w:val="WW8Num7z1"/>
    <w:uiPriority w:val="99"/>
    <w:rsid w:val="000710D8"/>
  </w:style>
  <w:style w:type="character" w:customStyle="1" w:styleId="WW8Num8z1">
    <w:name w:val="WW8Num8z1"/>
    <w:uiPriority w:val="99"/>
    <w:rsid w:val="000710D8"/>
  </w:style>
  <w:style w:type="character" w:customStyle="1" w:styleId="WW8Num10z2">
    <w:name w:val="WW8Num10z2"/>
    <w:uiPriority w:val="99"/>
    <w:rsid w:val="000710D8"/>
  </w:style>
  <w:style w:type="character" w:customStyle="1" w:styleId="WW8Num11z0">
    <w:name w:val="WW8Num11z0"/>
    <w:uiPriority w:val="99"/>
    <w:rsid w:val="000710D8"/>
  </w:style>
  <w:style w:type="character" w:customStyle="1" w:styleId="WW8Num14z1">
    <w:name w:val="WW8Num14z1"/>
    <w:uiPriority w:val="99"/>
    <w:rsid w:val="000710D8"/>
  </w:style>
  <w:style w:type="character" w:customStyle="1" w:styleId="WW8Num17z1">
    <w:name w:val="WW8Num17z1"/>
    <w:uiPriority w:val="99"/>
    <w:rsid w:val="000710D8"/>
  </w:style>
  <w:style w:type="character" w:customStyle="1" w:styleId="WW8Num18z1">
    <w:name w:val="WW8Num18z1"/>
    <w:uiPriority w:val="99"/>
    <w:rsid w:val="000710D8"/>
  </w:style>
  <w:style w:type="character" w:customStyle="1" w:styleId="WW8Num19z1">
    <w:name w:val="WW8Num19z1"/>
    <w:uiPriority w:val="99"/>
    <w:rsid w:val="000710D8"/>
  </w:style>
  <w:style w:type="character" w:customStyle="1" w:styleId="WW8Num20z2">
    <w:name w:val="WW8Num20z2"/>
    <w:uiPriority w:val="99"/>
    <w:rsid w:val="000710D8"/>
  </w:style>
  <w:style w:type="character" w:customStyle="1" w:styleId="WW8Num22z0">
    <w:name w:val="WW8Num22z0"/>
    <w:uiPriority w:val="99"/>
    <w:rsid w:val="000710D8"/>
  </w:style>
  <w:style w:type="character" w:customStyle="1" w:styleId="WW8Num22z1">
    <w:name w:val="WW8Num22z1"/>
    <w:uiPriority w:val="99"/>
    <w:rsid w:val="000710D8"/>
  </w:style>
  <w:style w:type="character" w:customStyle="1" w:styleId="WW8Num23z2">
    <w:name w:val="WW8Num23z2"/>
    <w:uiPriority w:val="99"/>
    <w:rsid w:val="000710D8"/>
  </w:style>
  <w:style w:type="character" w:customStyle="1" w:styleId="WW8Num24z1">
    <w:name w:val="WW8Num24z1"/>
    <w:uiPriority w:val="99"/>
    <w:rsid w:val="000710D8"/>
  </w:style>
  <w:style w:type="character" w:customStyle="1" w:styleId="WW8Num25z1">
    <w:name w:val="WW8Num25z1"/>
    <w:uiPriority w:val="99"/>
    <w:rsid w:val="000710D8"/>
  </w:style>
  <w:style w:type="character" w:customStyle="1" w:styleId="WW8Num26z1">
    <w:name w:val="WW8Num26z1"/>
    <w:uiPriority w:val="99"/>
    <w:rsid w:val="000710D8"/>
  </w:style>
  <w:style w:type="character" w:customStyle="1" w:styleId="WW8Num27z1">
    <w:name w:val="WW8Num27z1"/>
    <w:uiPriority w:val="99"/>
    <w:rsid w:val="000710D8"/>
  </w:style>
  <w:style w:type="character" w:customStyle="1" w:styleId="WW8Num28z1">
    <w:name w:val="WW8Num28z1"/>
    <w:uiPriority w:val="99"/>
    <w:rsid w:val="000710D8"/>
  </w:style>
  <w:style w:type="character" w:customStyle="1" w:styleId="WW8Num29z1">
    <w:name w:val="WW8Num29z1"/>
    <w:uiPriority w:val="99"/>
    <w:rsid w:val="000710D8"/>
  </w:style>
  <w:style w:type="character" w:customStyle="1" w:styleId="WW8Num30z1">
    <w:name w:val="WW8Num30z1"/>
    <w:uiPriority w:val="99"/>
    <w:rsid w:val="000710D8"/>
  </w:style>
  <w:style w:type="character" w:customStyle="1" w:styleId="WW8Num31z1">
    <w:name w:val="WW8Num31z1"/>
    <w:uiPriority w:val="99"/>
    <w:rsid w:val="000710D8"/>
  </w:style>
  <w:style w:type="character" w:customStyle="1" w:styleId="WW8Num33z2">
    <w:name w:val="WW8Num33z2"/>
    <w:uiPriority w:val="99"/>
    <w:rsid w:val="000710D8"/>
  </w:style>
  <w:style w:type="character" w:customStyle="1" w:styleId="WW8Num34z1">
    <w:name w:val="WW8Num34z1"/>
    <w:uiPriority w:val="99"/>
    <w:rsid w:val="000710D8"/>
  </w:style>
  <w:style w:type="character" w:customStyle="1" w:styleId="WW8Num35z1">
    <w:name w:val="WW8Num35z1"/>
    <w:uiPriority w:val="99"/>
    <w:rsid w:val="000710D8"/>
  </w:style>
  <w:style w:type="character" w:customStyle="1" w:styleId="WW8Num37z1">
    <w:name w:val="WW8Num37z1"/>
    <w:uiPriority w:val="99"/>
    <w:rsid w:val="000710D8"/>
  </w:style>
  <w:style w:type="character" w:customStyle="1" w:styleId="WW8Num39z2">
    <w:name w:val="WW8Num39z2"/>
    <w:uiPriority w:val="99"/>
    <w:rsid w:val="000710D8"/>
  </w:style>
  <w:style w:type="character" w:customStyle="1" w:styleId="WW8Num41z1">
    <w:name w:val="WW8Num41z1"/>
    <w:uiPriority w:val="99"/>
    <w:rsid w:val="000710D8"/>
  </w:style>
  <w:style w:type="character" w:customStyle="1" w:styleId="Domylnaczcionkaakapitu11">
    <w:name w:val="Domyślna czcionka akapitu11"/>
    <w:uiPriority w:val="99"/>
    <w:rsid w:val="000710D8"/>
  </w:style>
  <w:style w:type="character" w:customStyle="1" w:styleId="Numerstrony1">
    <w:name w:val="Numer strony1"/>
    <w:basedOn w:val="Domylnaczcionkaakapitu11"/>
    <w:uiPriority w:val="99"/>
    <w:rsid w:val="000710D8"/>
    <w:rPr>
      <w:rFonts w:cs="Times New Roman"/>
    </w:rPr>
  </w:style>
  <w:style w:type="character" w:customStyle="1" w:styleId="themebody">
    <w:name w:val="themebody"/>
    <w:basedOn w:val="Domylnaczcionkaakapitu11"/>
    <w:uiPriority w:val="99"/>
    <w:rsid w:val="000710D8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0710D8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0710D8"/>
  </w:style>
  <w:style w:type="character" w:customStyle="1" w:styleId="TekstkomentarzaZnak">
    <w:name w:val="Tekst komentarza Znak"/>
    <w:uiPriority w:val="99"/>
    <w:rsid w:val="000710D8"/>
  </w:style>
  <w:style w:type="character" w:customStyle="1" w:styleId="TematkomentarzaZnak">
    <w:name w:val="Temat komentarza Znak"/>
    <w:uiPriority w:val="99"/>
    <w:rsid w:val="000710D8"/>
  </w:style>
  <w:style w:type="character" w:customStyle="1" w:styleId="TekstdymkaZnak">
    <w:name w:val="Tekst dymka Znak"/>
    <w:uiPriority w:val="99"/>
    <w:rsid w:val="000710D8"/>
  </w:style>
  <w:style w:type="character" w:customStyle="1" w:styleId="TekstprzypisudolnegoZnak">
    <w:name w:val="Tekst przypisu dolnego Znak"/>
    <w:basedOn w:val="Domylnaczcionkaakapitu1"/>
    <w:uiPriority w:val="99"/>
    <w:rsid w:val="000710D8"/>
    <w:rPr>
      <w:rFonts w:cs="Times New Roman"/>
    </w:rPr>
  </w:style>
  <w:style w:type="character" w:customStyle="1" w:styleId="Odwoanieprzypisudolnego1">
    <w:name w:val="Odwołanie przypisu dolnego1"/>
    <w:basedOn w:val="Domylnaczcionkaakapitu1"/>
    <w:uiPriority w:val="99"/>
    <w:rsid w:val="000710D8"/>
    <w:rPr>
      <w:rFonts w:cs="Times New Roman"/>
    </w:rPr>
  </w:style>
  <w:style w:type="character" w:customStyle="1" w:styleId="ListLabel1">
    <w:name w:val="ListLabel 1"/>
    <w:uiPriority w:val="99"/>
    <w:rsid w:val="000710D8"/>
    <w:rPr>
      <w:b/>
    </w:rPr>
  </w:style>
  <w:style w:type="character" w:customStyle="1" w:styleId="ListLabel2">
    <w:name w:val="ListLabel 2"/>
    <w:uiPriority w:val="99"/>
    <w:rsid w:val="000710D8"/>
    <w:rPr>
      <w:b/>
      <w:sz w:val="16"/>
    </w:rPr>
  </w:style>
  <w:style w:type="character" w:customStyle="1" w:styleId="ListLabel3">
    <w:name w:val="ListLabel 3"/>
    <w:uiPriority w:val="99"/>
    <w:rsid w:val="000710D8"/>
    <w:rPr>
      <w:sz w:val="16"/>
    </w:rPr>
  </w:style>
  <w:style w:type="paragraph" w:customStyle="1" w:styleId="Nagwek20">
    <w:name w:val="Nagłówek2"/>
    <w:basedOn w:val="Normalny"/>
    <w:next w:val="Tekstpodstawowy"/>
    <w:uiPriority w:val="99"/>
    <w:rsid w:val="000710D8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0710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5C6A"/>
    <w:rPr>
      <w:rFonts w:cs="Times New Roman"/>
      <w:kern w:val="1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semiHidden/>
    <w:rsid w:val="000710D8"/>
    <w:rPr>
      <w:rFonts w:cs="Tahoma"/>
    </w:rPr>
  </w:style>
  <w:style w:type="paragraph" w:customStyle="1" w:styleId="Podpis2">
    <w:name w:val="Podpis2"/>
    <w:basedOn w:val="Normalny"/>
    <w:uiPriority w:val="99"/>
    <w:rsid w:val="000710D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710D8"/>
    <w:pPr>
      <w:suppressLineNumbers/>
    </w:pPr>
    <w:rPr>
      <w:rFonts w:cs="Tahoma"/>
    </w:rPr>
  </w:style>
  <w:style w:type="paragraph" w:customStyle="1" w:styleId="Nagwek10">
    <w:name w:val="Nagłówek1"/>
    <w:basedOn w:val="Normalny"/>
    <w:uiPriority w:val="99"/>
    <w:rsid w:val="000710D8"/>
  </w:style>
  <w:style w:type="paragraph" w:customStyle="1" w:styleId="Podpis1">
    <w:name w:val="Podpis1"/>
    <w:basedOn w:val="Normalny"/>
    <w:uiPriority w:val="99"/>
    <w:rsid w:val="000710D8"/>
  </w:style>
  <w:style w:type="paragraph" w:customStyle="1" w:styleId="NormalnyWeb1">
    <w:name w:val="Normalny (Web)1"/>
    <w:basedOn w:val="Normalny"/>
    <w:uiPriority w:val="99"/>
    <w:rsid w:val="000710D8"/>
  </w:style>
  <w:style w:type="paragraph" w:customStyle="1" w:styleId="Tekstpodstawowy21">
    <w:name w:val="Tekst podstawowy 21"/>
    <w:basedOn w:val="Normalny"/>
    <w:uiPriority w:val="99"/>
    <w:rsid w:val="000710D8"/>
  </w:style>
  <w:style w:type="paragraph" w:styleId="Stopka">
    <w:name w:val="footer"/>
    <w:basedOn w:val="Normalny"/>
    <w:link w:val="StopkaZnak"/>
    <w:uiPriority w:val="99"/>
    <w:rsid w:val="000710D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10D8"/>
    <w:rPr>
      <w:rFonts w:cs="Times New Roman"/>
      <w:kern w:val="1"/>
      <w:lang w:eastAsia="ar-SA" w:bidi="ar-SA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653EE3"/>
    <w:pPr>
      <w:jc w:val="center"/>
    </w:pPr>
    <w:rPr>
      <w:i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75C6A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Tekstpodstawowywcity1">
    <w:name w:val="Tekst podstawowy wcięty1"/>
    <w:basedOn w:val="Tekstpodstawowy"/>
    <w:uiPriority w:val="99"/>
    <w:rsid w:val="000710D8"/>
  </w:style>
  <w:style w:type="paragraph" w:customStyle="1" w:styleId="Akapitzlist1">
    <w:name w:val="Akapit z listą1"/>
    <w:basedOn w:val="Normalny"/>
    <w:uiPriority w:val="99"/>
    <w:rsid w:val="000710D8"/>
  </w:style>
  <w:style w:type="paragraph" w:customStyle="1" w:styleId="Tekstkomentarza1">
    <w:name w:val="Tekst komentarza1"/>
    <w:basedOn w:val="Normalny"/>
    <w:uiPriority w:val="99"/>
    <w:rsid w:val="000710D8"/>
  </w:style>
  <w:style w:type="paragraph" w:customStyle="1" w:styleId="Tematkomentarza1">
    <w:name w:val="Temat komentarza1"/>
    <w:basedOn w:val="Tekstkomentarza1"/>
    <w:uiPriority w:val="99"/>
    <w:rsid w:val="000710D8"/>
  </w:style>
  <w:style w:type="paragraph" w:customStyle="1" w:styleId="Tekstdymka1">
    <w:name w:val="Tekst dymka1"/>
    <w:basedOn w:val="Normalny"/>
    <w:uiPriority w:val="99"/>
    <w:rsid w:val="000710D8"/>
  </w:style>
  <w:style w:type="paragraph" w:customStyle="1" w:styleId="Tekstprzypisudolnego1">
    <w:name w:val="Tekst przypisu dolnego1"/>
    <w:basedOn w:val="Normalny"/>
    <w:uiPriority w:val="99"/>
    <w:rsid w:val="000710D8"/>
  </w:style>
  <w:style w:type="paragraph" w:styleId="Nagwek">
    <w:name w:val="header"/>
    <w:basedOn w:val="Normalny"/>
    <w:link w:val="NagwekZnak"/>
    <w:uiPriority w:val="99"/>
    <w:semiHidden/>
    <w:rsid w:val="000710D8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75C6A"/>
    <w:rPr>
      <w:rFonts w:cs="Times New Roman"/>
      <w:kern w:val="1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0710D8"/>
    <w:rPr>
      <w:rFonts w:cs="Times New Roman"/>
      <w:sz w:val="16"/>
    </w:rPr>
  </w:style>
  <w:style w:type="paragraph" w:styleId="Tekstkomentarza">
    <w:name w:val="annotation text"/>
    <w:basedOn w:val="Normalny"/>
    <w:link w:val="TekstkomentarzaZnak2"/>
    <w:uiPriority w:val="99"/>
    <w:semiHidden/>
    <w:rsid w:val="000710D8"/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B75C6A"/>
    <w:rPr>
      <w:rFonts w:cs="Times New Roman"/>
      <w:kern w:val="1"/>
      <w:sz w:val="20"/>
      <w:szCs w:val="20"/>
      <w:lang w:eastAsia="ar-SA" w:bidi="ar-SA"/>
    </w:rPr>
  </w:style>
  <w:style w:type="character" w:customStyle="1" w:styleId="TekstkomentarzaZnak1">
    <w:name w:val="Tekst komentarza Znak1"/>
    <w:uiPriority w:val="99"/>
    <w:semiHidden/>
    <w:rsid w:val="000710D8"/>
    <w:rPr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rsid w:val="000710D8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locked/>
    <w:rsid w:val="00B75C6A"/>
    <w:rPr>
      <w:rFonts w:cs="Times New Roman"/>
      <w:b/>
      <w:bCs/>
      <w:kern w:val="1"/>
      <w:sz w:val="20"/>
      <w:szCs w:val="20"/>
      <w:lang w:eastAsia="ar-SA" w:bidi="ar-SA"/>
    </w:rPr>
  </w:style>
  <w:style w:type="character" w:customStyle="1" w:styleId="TematkomentarzaZnak1">
    <w:name w:val="Temat komentarza Znak1"/>
    <w:uiPriority w:val="99"/>
    <w:semiHidden/>
    <w:rsid w:val="000710D8"/>
    <w:rPr>
      <w:b/>
      <w:kern w:val="1"/>
      <w:lang w:eastAsia="ar-SA" w:bidi="ar-SA"/>
    </w:rPr>
  </w:style>
  <w:style w:type="paragraph" w:styleId="Tekstdymka">
    <w:name w:val="Balloon Text"/>
    <w:basedOn w:val="Normalny"/>
    <w:link w:val="TekstdymkaZnak2"/>
    <w:uiPriority w:val="99"/>
    <w:semiHidden/>
    <w:rsid w:val="000710D8"/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locked/>
    <w:rsid w:val="00B75C6A"/>
    <w:rPr>
      <w:rFonts w:cs="Times New Roman"/>
      <w:kern w:val="1"/>
      <w:sz w:val="2"/>
      <w:lang w:eastAsia="ar-SA" w:bidi="ar-SA"/>
    </w:rPr>
  </w:style>
  <w:style w:type="character" w:customStyle="1" w:styleId="TekstdymkaZnak1">
    <w:name w:val="Tekst dymka Znak1"/>
    <w:uiPriority w:val="99"/>
    <w:semiHidden/>
    <w:rsid w:val="000710D8"/>
    <w:rPr>
      <w:rFonts w:ascii="Tahoma" w:hAnsi="Tahoma"/>
      <w:kern w:val="1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0710D8"/>
    <w:pPr>
      <w:ind w:left="708"/>
    </w:pPr>
  </w:style>
  <w:style w:type="paragraph" w:customStyle="1" w:styleId="ListParagraph1">
    <w:name w:val="List Paragraph1"/>
    <w:basedOn w:val="Normalny"/>
    <w:uiPriority w:val="99"/>
    <w:rsid w:val="000710D8"/>
    <w:pPr>
      <w:widowControl w:val="0"/>
      <w:spacing w:after="200"/>
      <w:ind w:left="720"/>
    </w:pPr>
    <w:rPr>
      <w:rFonts w:ascii="Cambria" w:hAnsi="Cambria"/>
      <w:sz w:val="24"/>
      <w:szCs w:val="24"/>
      <w:lang w:val="cs-CZ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710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710D8"/>
    <w:rPr>
      <w:rFonts w:cs="Times New Roman"/>
      <w:kern w:val="1"/>
      <w:sz w:val="16"/>
      <w:lang w:eastAsia="ar-SA" w:bidi="ar-SA"/>
    </w:rPr>
  </w:style>
  <w:style w:type="paragraph" w:customStyle="1" w:styleId="default">
    <w:name w:val="default"/>
    <w:basedOn w:val="Normalny"/>
    <w:uiPriority w:val="99"/>
    <w:rsid w:val="000710D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10D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10D8"/>
    <w:rPr>
      <w:rFonts w:cs="Times New Roman"/>
      <w:kern w:val="1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0710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1424</Words>
  <Characters>9536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Opis przedmiotu zamówienia</dc:title>
  <dc:subject/>
  <dc:creator>Potrząsaj Emil</dc:creator>
  <cp:keywords/>
  <dc:description/>
  <cp:lastModifiedBy>Sylwia Kępa</cp:lastModifiedBy>
  <cp:revision>7</cp:revision>
  <dcterms:created xsi:type="dcterms:W3CDTF">2021-10-21T09:58:00Z</dcterms:created>
  <dcterms:modified xsi:type="dcterms:W3CDTF">2021-10-27T11:00:00Z</dcterms:modified>
</cp:coreProperties>
</file>