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C" w:rsidRDefault="00CD670C" w:rsidP="00CD670C">
      <w:pPr>
        <w:shd w:val="clear" w:color="auto" w:fill="FFFFFF"/>
        <w:spacing w:line="270" w:lineRule="atLeast"/>
        <w:jc w:val="both"/>
        <w:rPr>
          <w:rFonts w:eastAsia="Times New Roman"/>
          <w:b/>
          <w:bCs/>
          <w:sz w:val="20"/>
          <w:szCs w:val="20"/>
        </w:rPr>
      </w:pPr>
      <w:r w:rsidRPr="00CD670C">
        <w:rPr>
          <w:rFonts w:eastAsia="Times New Roman"/>
          <w:b/>
          <w:bCs/>
          <w:sz w:val="20"/>
          <w:szCs w:val="20"/>
        </w:rPr>
        <w:t xml:space="preserve">Kodeks Etyczny Dostawców Koncernu </w:t>
      </w:r>
      <w:proofErr w:type="spellStart"/>
      <w:r w:rsidRPr="00CD670C">
        <w:rPr>
          <w:rFonts w:eastAsia="Times New Roman"/>
          <w:b/>
          <w:bCs/>
          <w:sz w:val="20"/>
          <w:szCs w:val="20"/>
        </w:rPr>
        <w:t>HeidelbergCement</w:t>
      </w:r>
      <w:proofErr w:type="spellEnd"/>
    </w:p>
    <w:p w:rsidR="00225B5C" w:rsidRPr="00225B5C" w:rsidRDefault="00225B5C" w:rsidP="00225B5C">
      <w:pPr>
        <w:shd w:val="clear" w:color="auto" w:fill="FFFFFF"/>
        <w:spacing w:line="270" w:lineRule="atLeast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c</w:t>
      </w:r>
      <w:r w:rsidRPr="00225B5C">
        <w:rPr>
          <w:rFonts w:eastAsia="Times New Roman"/>
          <w:bCs/>
          <w:sz w:val="20"/>
          <w:szCs w:val="20"/>
        </w:rPr>
        <w:t>zerwiec 2013</w:t>
      </w:r>
    </w:p>
    <w:p w:rsidR="00CD670C" w:rsidRDefault="00CD670C" w:rsidP="00CD670C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  <w:r w:rsidRPr="00CD670C">
        <w:rPr>
          <w:rFonts w:eastAsia="Times New Roman"/>
          <w:color w:val="333333"/>
          <w:sz w:val="20"/>
          <w:szCs w:val="20"/>
        </w:rPr>
        <w:t xml:space="preserve">Nasza działalność podlega odpowiednim prawom i przepisom krajowym dotyczącym ochrony środowiska, bezpieczeństwa produktu oraz spraw socjalnych. Poza tym koncern </w:t>
      </w:r>
      <w:proofErr w:type="spellStart"/>
      <w:r w:rsidRPr="00CD670C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CD670C">
        <w:rPr>
          <w:rFonts w:eastAsia="Times New Roman"/>
          <w:color w:val="333333"/>
          <w:sz w:val="20"/>
          <w:szCs w:val="20"/>
        </w:rPr>
        <w:t xml:space="preserve"> zwraca się formalnie do wszystkich swoich dostawców z prośbą o przestrzeganie zasad naszego Kodeksu </w:t>
      </w:r>
      <w:r w:rsidR="00225B5C">
        <w:rPr>
          <w:rFonts w:eastAsia="Times New Roman"/>
          <w:color w:val="333333"/>
          <w:sz w:val="20"/>
          <w:szCs w:val="20"/>
        </w:rPr>
        <w:t>Etycznego Dostawców</w:t>
      </w:r>
      <w:r w:rsidRPr="00CD670C">
        <w:rPr>
          <w:rFonts w:eastAsia="Times New Roman"/>
          <w:color w:val="333333"/>
          <w:sz w:val="20"/>
          <w:szCs w:val="20"/>
        </w:rPr>
        <w:t xml:space="preserve"> oraz działania zgodne z tym Kodeksem. </w:t>
      </w:r>
    </w:p>
    <w:p w:rsidR="00CD670C" w:rsidRDefault="00CD670C" w:rsidP="00CD670C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  <w:r w:rsidRPr="00CD670C">
        <w:rPr>
          <w:rFonts w:eastAsia="Times New Roman"/>
          <w:color w:val="333333"/>
          <w:sz w:val="20"/>
          <w:szCs w:val="20"/>
        </w:rPr>
        <w:t xml:space="preserve">Opierając się na „Kodeksie Postępowania w Biznesie” koncernu </w:t>
      </w:r>
      <w:proofErr w:type="spellStart"/>
      <w:r w:rsidRPr="00CD670C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CD670C">
        <w:rPr>
          <w:rFonts w:eastAsia="Times New Roman"/>
          <w:color w:val="333333"/>
          <w:sz w:val="20"/>
          <w:szCs w:val="20"/>
        </w:rPr>
        <w:t xml:space="preserve">, nasz Kodeks Etyczny Dostawców ma za zadanie zapewnić zgodność z międzynarodowym standardem odpowiedzialności społecznej SA 8000 i standardem środowiskowym ISO 14001 oraz zasadami Międzynarodowej Organizacji Pracy wśród naszych dostawców. </w:t>
      </w:r>
    </w:p>
    <w:p w:rsidR="00CD670C" w:rsidRDefault="00CD670C" w:rsidP="00CD670C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  <w:r w:rsidRPr="00CD670C">
        <w:rPr>
          <w:rFonts w:eastAsia="Times New Roman"/>
          <w:color w:val="333333"/>
          <w:sz w:val="20"/>
          <w:szCs w:val="20"/>
        </w:rPr>
        <w:t xml:space="preserve">Stosowany przez </w:t>
      </w:r>
      <w:proofErr w:type="spellStart"/>
      <w:r w:rsidRPr="00CD670C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CD670C">
        <w:rPr>
          <w:rFonts w:eastAsia="Times New Roman"/>
          <w:color w:val="333333"/>
          <w:sz w:val="20"/>
          <w:szCs w:val="20"/>
        </w:rPr>
        <w:t xml:space="preserve"> na całym świecie Kodeks Etyczny Dostawców stanowi podstawę wszystkich zawieranych umów. Koncern HC ceni sobie bliską i efektywną współpracę z naszymi dostawcami. W związku z tym, jeśli poprawa istotnych nieprawidłowości niezgodnych z Kodeksem Etycznym Dostawców nie uda się, albo z powodu braku chęci ze stron dostawcy, albo </w:t>
      </w:r>
      <w:r w:rsidR="00225B5C">
        <w:rPr>
          <w:rFonts w:eastAsia="Times New Roman"/>
          <w:color w:val="333333"/>
          <w:sz w:val="20"/>
          <w:szCs w:val="20"/>
        </w:rPr>
        <w:t>jeśli</w:t>
      </w:r>
      <w:r w:rsidRPr="00CD670C">
        <w:rPr>
          <w:rFonts w:eastAsia="Times New Roman"/>
          <w:color w:val="333333"/>
          <w:sz w:val="20"/>
          <w:szCs w:val="20"/>
        </w:rPr>
        <w:t xml:space="preserve"> plan naprawczy nie może zostać wdrożony w uzgodnionych terminach, w ostateczności współpraca zostanie rozwiązana.</w:t>
      </w:r>
    </w:p>
    <w:p w:rsidR="00CD670C" w:rsidRDefault="00CD670C" w:rsidP="00CD670C">
      <w:pPr>
        <w:shd w:val="clear" w:color="auto" w:fill="FFFFFF"/>
        <w:spacing w:line="270" w:lineRule="atLeast"/>
        <w:jc w:val="both"/>
        <w:rPr>
          <w:rFonts w:eastAsia="Times New Roman"/>
          <w:b/>
          <w:bCs/>
          <w:color w:val="333333"/>
          <w:sz w:val="20"/>
          <w:szCs w:val="20"/>
        </w:rPr>
      </w:pPr>
      <w:r w:rsidRPr="00CD670C">
        <w:rPr>
          <w:rFonts w:eastAsia="Times New Roman"/>
          <w:b/>
          <w:color w:val="333333"/>
          <w:sz w:val="20"/>
          <w:szCs w:val="20"/>
        </w:rPr>
        <w:t>K</w:t>
      </w:r>
      <w:r w:rsidR="000E012C" w:rsidRPr="000E012C">
        <w:rPr>
          <w:rFonts w:eastAsia="Times New Roman"/>
          <w:b/>
          <w:bCs/>
          <w:color w:val="333333"/>
          <w:sz w:val="20"/>
          <w:szCs w:val="20"/>
        </w:rPr>
        <w:t xml:space="preserve">odeks Etyczny Dostawców </w:t>
      </w:r>
    </w:p>
    <w:p w:rsidR="00A24858" w:rsidRDefault="000E012C" w:rsidP="00CD670C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  <w:r w:rsidRPr="000E012C">
        <w:rPr>
          <w:rFonts w:eastAsia="Times New Roman"/>
          <w:color w:val="333333"/>
          <w:sz w:val="20"/>
          <w:szCs w:val="20"/>
        </w:rPr>
        <w:t xml:space="preserve">Kodeks Etyczny Dostawców koncernu </w:t>
      </w:r>
      <w:proofErr w:type="spellStart"/>
      <w:r w:rsidRPr="000E012C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0E012C">
        <w:rPr>
          <w:rFonts w:eastAsia="Times New Roman"/>
          <w:color w:val="333333"/>
          <w:sz w:val="20"/>
          <w:szCs w:val="20"/>
        </w:rPr>
        <w:t xml:space="preserve"> wymaga od Dostawców </w:t>
      </w:r>
      <w:proofErr w:type="spellStart"/>
      <w:r w:rsidRPr="000E012C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0E012C">
        <w:rPr>
          <w:rFonts w:eastAsia="Times New Roman"/>
          <w:color w:val="333333"/>
          <w:sz w:val="20"/>
          <w:szCs w:val="20"/>
        </w:rPr>
        <w:t xml:space="preserve"> spełnienia następujących warunków: </w:t>
      </w:r>
    </w:p>
    <w:p w:rsidR="00A24858" w:rsidRDefault="000E012C" w:rsidP="000932D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  <w:u w:val="single"/>
        </w:rPr>
      </w:pPr>
      <w:r w:rsidRPr="000E012C">
        <w:rPr>
          <w:rFonts w:eastAsia="Times New Roman"/>
          <w:color w:val="333333"/>
          <w:sz w:val="20"/>
          <w:szCs w:val="20"/>
        </w:rPr>
        <w:br/>
      </w:r>
      <w:r w:rsidRPr="000E012C">
        <w:rPr>
          <w:rFonts w:eastAsia="Times New Roman"/>
          <w:color w:val="333333"/>
          <w:sz w:val="20"/>
          <w:szCs w:val="20"/>
          <w:u w:val="single"/>
        </w:rPr>
        <w:t xml:space="preserve">Warunki pracy / zatrudnienie </w:t>
      </w:r>
    </w:p>
    <w:p w:rsidR="00A24858" w:rsidRDefault="000E012C" w:rsidP="000932D2">
      <w:pPr>
        <w:pStyle w:val="Akapitzlist"/>
        <w:numPr>
          <w:ilvl w:val="0"/>
          <w:numId w:val="2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>Dostawcy nie mogą stosować pracy dzieci na żadnym etapie produkcji. Dostawcy winni spełniać wymagania konwencji MOP co do minimalnego wieku zatrudnienia.</w:t>
      </w:r>
    </w:p>
    <w:p w:rsidR="00A24858" w:rsidRDefault="000E012C" w:rsidP="000932D2">
      <w:pPr>
        <w:pStyle w:val="Akapitzlist"/>
        <w:numPr>
          <w:ilvl w:val="0"/>
          <w:numId w:val="2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Wynagrodzenie i świadczenia winny być zgodne z podstawowymi zasadami dotyczącymi płacy minimalnej, nadgodzin i prawnie wymaganych świadczeń. </w:t>
      </w:r>
    </w:p>
    <w:p w:rsidR="00A24858" w:rsidRDefault="000E012C" w:rsidP="000932D2">
      <w:pPr>
        <w:pStyle w:val="Akapitzlist"/>
        <w:numPr>
          <w:ilvl w:val="0"/>
          <w:numId w:val="2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Nie </w:t>
      </w:r>
      <w:r w:rsidR="00225B5C">
        <w:rPr>
          <w:rFonts w:eastAsia="Times New Roman"/>
          <w:color w:val="333333"/>
          <w:sz w:val="20"/>
          <w:szCs w:val="20"/>
        </w:rPr>
        <w:t>można</w:t>
      </w:r>
      <w:r w:rsidRPr="00A24858">
        <w:rPr>
          <w:rFonts w:eastAsia="Times New Roman"/>
          <w:color w:val="333333"/>
          <w:sz w:val="20"/>
          <w:szCs w:val="20"/>
        </w:rPr>
        <w:t xml:space="preserve"> korzystać z żadnej formy pracy przymusowej, a pracownicy muszą mieć swobodę rezygnacji z zatrudnienia za odpowiednim wypowiedzeniem. </w:t>
      </w:r>
    </w:p>
    <w:p w:rsidR="00A24858" w:rsidRDefault="000E012C" w:rsidP="000932D2">
      <w:pPr>
        <w:pStyle w:val="Akapitzlist"/>
        <w:numPr>
          <w:ilvl w:val="0"/>
          <w:numId w:val="2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Dostawcy winni przestrzegać prawa pracowników do swobody zrzeszania się i uznawać prawo pracowników do zawierania umów zbiorowych, gdzie prawo to dopuszcza. </w:t>
      </w:r>
    </w:p>
    <w:p w:rsidR="00A24858" w:rsidRDefault="000E012C" w:rsidP="000932D2">
      <w:pPr>
        <w:pStyle w:val="Akapitzlist"/>
        <w:numPr>
          <w:ilvl w:val="0"/>
          <w:numId w:val="2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Pracownikom należy zapewnić bezpieczne i zdrowe warunki pracy, spełniające lub przewyższające odpowiednie standardy BHP. </w:t>
      </w:r>
    </w:p>
    <w:p w:rsidR="00A24858" w:rsidRDefault="00A24858" w:rsidP="000932D2">
      <w:pPr>
        <w:pStyle w:val="Akapitzlist"/>
        <w:shd w:val="clear" w:color="auto" w:fill="FFFFFF"/>
        <w:spacing w:line="270" w:lineRule="atLeast"/>
        <w:ind w:left="284"/>
        <w:jc w:val="both"/>
        <w:rPr>
          <w:rFonts w:eastAsia="Times New Roman"/>
          <w:color w:val="333333"/>
          <w:sz w:val="20"/>
          <w:szCs w:val="20"/>
        </w:rPr>
      </w:pPr>
    </w:p>
    <w:p w:rsidR="00A24858" w:rsidRDefault="000E012C" w:rsidP="000932D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  <w:u w:val="single"/>
        </w:rPr>
      </w:pPr>
      <w:r w:rsidRPr="00A24858">
        <w:rPr>
          <w:rFonts w:eastAsia="Times New Roman"/>
          <w:color w:val="333333"/>
          <w:sz w:val="20"/>
          <w:szCs w:val="20"/>
          <w:u w:val="single"/>
        </w:rPr>
        <w:t xml:space="preserve">Standardy środowiskowe </w:t>
      </w:r>
    </w:p>
    <w:p w:rsidR="00A24858" w:rsidRDefault="000E012C" w:rsidP="000932D2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Działalność dostawców winna być prowadzona z poszanowaniem środowiska i być zgodna z odpowiednimi przepisami obowiązującymi w danym kraju. </w:t>
      </w:r>
    </w:p>
    <w:p w:rsidR="00A24858" w:rsidRDefault="000E012C" w:rsidP="000932D2">
      <w:pPr>
        <w:pStyle w:val="Akapitzlist"/>
        <w:numPr>
          <w:ilvl w:val="0"/>
          <w:numId w:val="3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>Wszystkie dostarczane produkty i usługi winny spełniać wymagania środowiskowe, jakościowe i bezpieczeństwa wskazane w odnośnych umowach oraz winny być bezpieczne z</w:t>
      </w:r>
      <w:r w:rsidR="00A24858">
        <w:rPr>
          <w:rFonts w:eastAsia="Times New Roman"/>
          <w:color w:val="333333"/>
          <w:sz w:val="20"/>
          <w:szCs w:val="20"/>
        </w:rPr>
        <w:t>godnie ze swoim zastosowaniem.</w:t>
      </w:r>
    </w:p>
    <w:p w:rsidR="00131782" w:rsidRDefault="00131782" w:rsidP="0013178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</w:p>
    <w:p w:rsidR="00131782" w:rsidRDefault="00131782" w:rsidP="0013178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</w:p>
    <w:p w:rsidR="00A24858" w:rsidRDefault="000E012C" w:rsidP="000932D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  <w:u w:val="single"/>
        </w:rPr>
      </w:pPr>
      <w:r w:rsidRPr="00A24858">
        <w:rPr>
          <w:rFonts w:eastAsia="Times New Roman"/>
          <w:color w:val="333333"/>
          <w:sz w:val="20"/>
          <w:szCs w:val="20"/>
          <w:u w:val="single"/>
        </w:rPr>
        <w:t xml:space="preserve">Etyka biznesowa </w:t>
      </w:r>
    </w:p>
    <w:p w:rsidR="00A24858" w:rsidRDefault="000E012C" w:rsidP="000932D2">
      <w:pPr>
        <w:pStyle w:val="Akapitzlist"/>
        <w:numPr>
          <w:ilvl w:val="0"/>
          <w:numId w:val="5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Działalność winna być prowadzona w sposób </w:t>
      </w:r>
      <w:r w:rsidR="00225B5C">
        <w:rPr>
          <w:rFonts w:eastAsia="Times New Roman"/>
          <w:color w:val="333333"/>
          <w:sz w:val="20"/>
          <w:szCs w:val="20"/>
        </w:rPr>
        <w:t>uczciwy</w:t>
      </w:r>
      <w:r w:rsidRPr="00A24858">
        <w:rPr>
          <w:rFonts w:eastAsia="Times New Roman"/>
          <w:color w:val="333333"/>
          <w:sz w:val="20"/>
          <w:szCs w:val="20"/>
        </w:rPr>
        <w:t xml:space="preserve">. Nie można dokonywać płatności, wyświadczać usług, dawać prezentów, czy innych korzyści, ani też ich oferować żadnemu pracownikowi </w:t>
      </w:r>
      <w:proofErr w:type="spellStart"/>
      <w:r w:rsidRPr="00A24858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A24858">
        <w:rPr>
          <w:rFonts w:eastAsia="Times New Roman"/>
          <w:color w:val="333333"/>
          <w:sz w:val="20"/>
          <w:szCs w:val="20"/>
        </w:rPr>
        <w:t xml:space="preserve"> lub stronom trzecim, z zamiarem wywarcia wpływu na sposób wykonywania obowiązków przez pracownika </w:t>
      </w:r>
      <w:proofErr w:type="spellStart"/>
      <w:r w:rsidRPr="00A24858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A24858">
        <w:rPr>
          <w:rFonts w:eastAsia="Times New Roman"/>
          <w:color w:val="333333"/>
          <w:sz w:val="20"/>
          <w:szCs w:val="20"/>
        </w:rPr>
        <w:t xml:space="preserve"> lub stronę trzecią. Podobnie koncern </w:t>
      </w:r>
      <w:proofErr w:type="spellStart"/>
      <w:r w:rsidRPr="00A24858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A24858">
        <w:rPr>
          <w:rFonts w:eastAsia="Times New Roman"/>
          <w:color w:val="333333"/>
          <w:sz w:val="20"/>
          <w:szCs w:val="20"/>
        </w:rPr>
        <w:t xml:space="preserve"> nie będzie oferować ani przekazywać takich płatności, usług, prezentów czy innych korzyści żadnemu dostawcy, które miałyby wywrzeć wpływa na sposób wykonywania jego obowiązków. </w:t>
      </w:r>
    </w:p>
    <w:p w:rsidR="00A24858" w:rsidRDefault="000E012C" w:rsidP="000932D2">
      <w:pPr>
        <w:pStyle w:val="Akapitzlist"/>
        <w:numPr>
          <w:ilvl w:val="0"/>
          <w:numId w:val="5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>Szanowane winny być prawa człowieka, nie dopuszcza się żadnej formy nękania czy dyskryminacji wobec pracowników. Powyższy zakaz obej</w:t>
      </w:r>
      <w:r w:rsidR="00225B5C">
        <w:rPr>
          <w:rFonts w:eastAsia="Times New Roman"/>
          <w:color w:val="333333"/>
          <w:sz w:val="20"/>
          <w:szCs w:val="20"/>
        </w:rPr>
        <w:t>muje miedzy innymi dyskryminację</w:t>
      </w:r>
      <w:r w:rsidRPr="00A24858">
        <w:rPr>
          <w:rFonts w:eastAsia="Times New Roman"/>
          <w:color w:val="333333"/>
          <w:sz w:val="20"/>
          <w:szCs w:val="20"/>
        </w:rPr>
        <w:t xml:space="preserve"> ze względu na płeć, pochodzenie etniczne, kolor skóry, orientacje seksualną, niepełnosprawność czy wiek. </w:t>
      </w:r>
    </w:p>
    <w:p w:rsidR="00A24858" w:rsidRDefault="00225B5C" w:rsidP="000932D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  <w:u w:val="single"/>
        </w:rPr>
      </w:pPr>
      <w:r>
        <w:rPr>
          <w:rFonts w:eastAsia="Times New Roman"/>
          <w:color w:val="333333"/>
          <w:sz w:val="20"/>
          <w:szCs w:val="20"/>
          <w:u w:val="single"/>
        </w:rPr>
        <w:t>Uwagi końcowe</w:t>
      </w:r>
    </w:p>
    <w:p w:rsidR="00A24858" w:rsidRDefault="000E012C" w:rsidP="000932D2">
      <w:pPr>
        <w:pStyle w:val="Akapitzlist"/>
        <w:numPr>
          <w:ilvl w:val="0"/>
          <w:numId w:val="7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Oczekuje się, że bezpośredni dostawcy </w:t>
      </w:r>
      <w:proofErr w:type="spellStart"/>
      <w:r w:rsidRPr="00A24858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Pr="00A24858">
        <w:rPr>
          <w:rFonts w:eastAsia="Times New Roman"/>
          <w:color w:val="333333"/>
          <w:sz w:val="20"/>
          <w:szCs w:val="20"/>
        </w:rPr>
        <w:t xml:space="preserve"> zapewnią przestrzeganie zasad niniejszego Kodeksu Etycznego Dostawców przez ich bezpośrednich dostawców i dokonają sprawdzenia, czy te zasady są przestrzegane w ich łańcuchach dostaw. </w:t>
      </w:r>
    </w:p>
    <w:p w:rsidR="00A24858" w:rsidRDefault="000E012C" w:rsidP="000932D2">
      <w:pPr>
        <w:pStyle w:val="Akapitzlist"/>
        <w:numPr>
          <w:ilvl w:val="0"/>
          <w:numId w:val="7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 w:rsidRPr="00A24858">
        <w:rPr>
          <w:rFonts w:eastAsia="Times New Roman"/>
          <w:color w:val="333333"/>
          <w:sz w:val="20"/>
          <w:szCs w:val="20"/>
        </w:rPr>
        <w:t xml:space="preserve">Przestrzeganie tych standardów to długoterminowy proces uczenia się i rozwoju. Będziemy współpracować z naszymi dostawcami w celu zapewnienia przestrzegania, ciągłej oceny i aktualizacji tych zasad w miarę potrzeb. </w:t>
      </w:r>
    </w:p>
    <w:p w:rsidR="000932D2" w:rsidRDefault="000932D2" w:rsidP="00412F9A">
      <w:pPr>
        <w:pStyle w:val="Akapitzlist"/>
        <w:numPr>
          <w:ilvl w:val="0"/>
          <w:numId w:val="7"/>
        </w:numPr>
        <w:shd w:val="clear" w:color="auto" w:fill="FFFFFF"/>
        <w:spacing w:line="270" w:lineRule="atLeast"/>
        <w:ind w:left="284" w:hanging="284"/>
        <w:jc w:val="both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Dostawcy mogą zgłaszać w</w:t>
      </w:r>
      <w:r w:rsidR="00CD670C">
        <w:rPr>
          <w:rFonts w:eastAsia="Times New Roman"/>
          <w:color w:val="333333"/>
          <w:sz w:val="20"/>
          <w:szCs w:val="20"/>
        </w:rPr>
        <w:t xml:space="preserve">szelkie </w:t>
      </w:r>
      <w:r>
        <w:rPr>
          <w:rFonts w:eastAsia="Times New Roman"/>
          <w:color w:val="333333"/>
          <w:sz w:val="20"/>
          <w:szCs w:val="20"/>
        </w:rPr>
        <w:t>zastrzeżenia dotyczące</w:t>
      </w:r>
      <w:r w:rsidR="00CD670C">
        <w:rPr>
          <w:rFonts w:eastAsia="Times New Roman"/>
          <w:color w:val="333333"/>
          <w:sz w:val="20"/>
          <w:szCs w:val="20"/>
        </w:rPr>
        <w:t xml:space="preserve"> nieprawidłowych </w:t>
      </w:r>
      <w:proofErr w:type="spellStart"/>
      <w:r w:rsidR="00CD670C">
        <w:rPr>
          <w:rFonts w:eastAsia="Times New Roman"/>
          <w:color w:val="333333"/>
          <w:sz w:val="20"/>
          <w:szCs w:val="20"/>
        </w:rPr>
        <w:t>zachowań</w:t>
      </w:r>
      <w:proofErr w:type="spellEnd"/>
      <w:r w:rsidR="00CD670C">
        <w:rPr>
          <w:rFonts w:eastAsia="Times New Roman"/>
          <w:color w:val="333333"/>
          <w:sz w:val="20"/>
          <w:szCs w:val="20"/>
        </w:rPr>
        <w:t xml:space="preserve"> w odniesieniu do obowiązującego prawa lub wewnętrznych standardów </w:t>
      </w:r>
      <w:proofErr w:type="spellStart"/>
      <w:r w:rsidR="00CD670C">
        <w:rPr>
          <w:rFonts w:eastAsia="Times New Roman"/>
          <w:color w:val="333333"/>
          <w:sz w:val="20"/>
          <w:szCs w:val="20"/>
        </w:rPr>
        <w:t>HeidelbergCement</w:t>
      </w:r>
      <w:proofErr w:type="spellEnd"/>
      <w:r w:rsidR="00CD670C">
        <w:rPr>
          <w:rFonts w:eastAsia="Times New Roman"/>
          <w:color w:val="333333"/>
          <w:sz w:val="20"/>
          <w:szCs w:val="20"/>
        </w:rPr>
        <w:t xml:space="preserve"> poprzez</w:t>
      </w:r>
      <w:r w:rsidR="00412F9A">
        <w:rPr>
          <w:rFonts w:eastAsia="Times New Roman"/>
          <w:color w:val="333333"/>
          <w:sz w:val="20"/>
          <w:szCs w:val="20"/>
        </w:rPr>
        <w:t xml:space="preserve"> łącze </w:t>
      </w:r>
      <w:r w:rsidR="00131782">
        <w:rPr>
          <w:rFonts w:eastAsia="Times New Roman"/>
          <w:color w:val="333333"/>
          <w:sz w:val="20"/>
          <w:szCs w:val="20"/>
        </w:rPr>
        <w:t>alarmowe "</w:t>
      </w:r>
      <w:proofErr w:type="spellStart"/>
      <w:r w:rsidR="00131782">
        <w:rPr>
          <w:rFonts w:eastAsia="Times New Roman"/>
          <w:color w:val="333333"/>
          <w:sz w:val="20"/>
          <w:szCs w:val="20"/>
        </w:rPr>
        <w:t>MySafeWorkplace</w:t>
      </w:r>
      <w:proofErr w:type="spellEnd"/>
      <w:r w:rsidR="00131782">
        <w:rPr>
          <w:rFonts w:eastAsia="Times New Roman"/>
          <w:color w:val="333333"/>
          <w:sz w:val="20"/>
          <w:szCs w:val="20"/>
        </w:rPr>
        <w:t>" (</w:t>
      </w:r>
      <w:hyperlink r:id="rId8" w:history="1">
        <w:r w:rsidR="00131782" w:rsidRPr="007C3A75">
          <w:rPr>
            <w:rStyle w:val="Hipercze"/>
            <w:rFonts w:eastAsia="Times New Roman"/>
            <w:sz w:val="20"/>
            <w:szCs w:val="20"/>
          </w:rPr>
          <w:t>www.mysafeworkplace.com</w:t>
        </w:r>
      </w:hyperlink>
      <w:r w:rsidR="00131782">
        <w:rPr>
          <w:rFonts w:eastAsia="Times New Roman"/>
          <w:color w:val="333333"/>
          <w:sz w:val="20"/>
          <w:szCs w:val="20"/>
        </w:rPr>
        <w:t>)</w:t>
      </w:r>
    </w:p>
    <w:p w:rsidR="00131782" w:rsidRPr="00131782" w:rsidRDefault="00131782" w:rsidP="00131782">
      <w:pPr>
        <w:shd w:val="clear" w:color="auto" w:fill="FFFFFF"/>
        <w:spacing w:line="270" w:lineRule="atLeast"/>
        <w:jc w:val="both"/>
        <w:rPr>
          <w:rFonts w:eastAsia="Times New Roman"/>
          <w:color w:val="333333"/>
          <w:sz w:val="20"/>
          <w:szCs w:val="20"/>
        </w:rPr>
      </w:pPr>
    </w:p>
    <w:p w:rsidR="00A24858" w:rsidRDefault="00A24858" w:rsidP="00A24858">
      <w:pPr>
        <w:shd w:val="clear" w:color="auto" w:fill="FFFFFF"/>
        <w:spacing w:line="270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0E07F8" w:rsidRDefault="00225B5C" w:rsidP="00A24858">
      <w:pPr>
        <w:shd w:val="clear" w:color="auto" w:fill="FFFFFF"/>
        <w:spacing w:line="270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</w:rPr>
        <w:t>d</w:t>
      </w:r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t xml:space="preserve">r Dominik von </w:t>
      </w:r>
      <w:proofErr w:type="spellStart"/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t>Achten</w:t>
      </w:r>
      <w:proofErr w:type="spellEnd"/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t xml:space="preserve"> </w:t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>
        <w:rPr>
          <w:rFonts w:eastAsia="Times New Roman"/>
          <w:b/>
          <w:bCs/>
          <w:color w:val="333333"/>
          <w:sz w:val="20"/>
          <w:szCs w:val="20"/>
        </w:rPr>
        <w:t xml:space="preserve">dr </w:t>
      </w:r>
      <w:proofErr w:type="spellStart"/>
      <w:r>
        <w:rPr>
          <w:rFonts w:eastAsia="Times New Roman"/>
          <w:b/>
          <w:bCs/>
          <w:color w:val="333333"/>
          <w:sz w:val="20"/>
          <w:szCs w:val="20"/>
        </w:rPr>
        <w:t>Ines</w:t>
      </w:r>
      <w:proofErr w:type="spellEnd"/>
      <w:r>
        <w:rPr>
          <w:rFonts w:eastAsia="Times New Roman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333333"/>
          <w:sz w:val="20"/>
          <w:szCs w:val="20"/>
        </w:rPr>
        <w:t>Ploss</w:t>
      </w:r>
      <w:proofErr w:type="spellEnd"/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t xml:space="preserve"> </w:t>
      </w:r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br/>
        <w:t xml:space="preserve">Członek Zarządu </w:t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A24858">
        <w:rPr>
          <w:rFonts w:eastAsia="Times New Roman"/>
          <w:b/>
          <w:bCs/>
          <w:color w:val="333333"/>
          <w:sz w:val="20"/>
          <w:szCs w:val="20"/>
        </w:rPr>
        <w:tab/>
      </w:r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t>CPO</w:t>
      </w:r>
      <w:r w:rsidR="000E07F8">
        <w:rPr>
          <w:rFonts w:eastAsia="Times New Roman"/>
          <w:b/>
          <w:bCs/>
          <w:color w:val="333333"/>
          <w:sz w:val="20"/>
          <w:szCs w:val="20"/>
        </w:rPr>
        <w:t>,</w:t>
      </w:r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t xml:space="preserve"> Dyrektor ds. Zakupów </w:t>
      </w:r>
      <w:r w:rsidR="000E012C" w:rsidRPr="00A24858">
        <w:rPr>
          <w:rFonts w:eastAsia="Times New Roman"/>
          <w:b/>
          <w:bCs/>
          <w:color w:val="333333"/>
          <w:sz w:val="20"/>
          <w:szCs w:val="20"/>
        </w:rPr>
        <w:br/>
      </w:r>
      <w:hyperlink r:id="rId9" w:history="1">
        <w:r w:rsidR="000E07F8" w:rsidRPr="00CD4B79">
          <w:rPr>
            <w:rStyle w:val="Hipercze"/>
            <w:rFonts w:eastAsia="Times New Roman"/>
            <w:sz w:val="20"/>
            <w:szCs w:val="20"/>
          </w:rPr>
          <w:t>Dominik.vonAchten@heidelbergcement.com</w:t>
        </w:r>
      </w:hyperlink>
      <w:r w:rsidR="000E07F8">
        <w:rPr>
          <w:rFonts w:eastAsia="Times New Roman"/>
          <w:color w:val="333333"/>
          <w:sz w:val="20"/>
          <w:szCs w:val="20"/>
        </w:rPr>
        <w:tab/>
      </w:r>
      <w:r w:rsidR="000E07F8">
        <w:rPr>
          <w:rFonts w:eastAsia="Times New Roman"/>
          <w:color w:val="333333"/>
          <w:sz w:val="20"/>
          <w:szCs w:val="20"/>
        </w:rPr>
        <w:tab/>
      </w:r>
      <w:r w:rsidR="000E07F8">
        <w:rPr>
          <w:rFonts w:eastAsia="Times New Roman"/>
          <w:color w:val="333333"/>
          <w:sz w:val="20"/>
          <w:szCs w:val="20"/>
        </w:rPr>
        <w:tab/>
      </w:r>
      <w:hyperlink r:id="rId10" w:history="1">
        <w:r w:rsidR="000E07F8" w:rsidRPr="00CD4B79">
          <w:rPr>
            <w:rStyle w:val="Hipercze"/>
            <w:rFonts w:eastAsia="Times New Roman"/>
            <w:sz w:val="20"/>
            <w:szCs w:val="20"/>
          </w:rPr>
          <w:t>ines.ploss@heidelbergcement.com</w:t>
        </w:r>
      </w:hyperlink>
    </w:p>
    <w:p w:rsidR="000E012C" w:rsidRPr="00A24858" w:rsidRDefault="000E012C" w:rsidP="00A24858">
      <w:pPr>
        <w:shd w:val="clear" w:color="auto" w:fill="FFFFFF"/>
        <w:spacing w:line="270" w:lineRule="atLeast"/>
        <w:rPr>
          <w:rFonts w:eastAsia="Times New Roman"/>
          <w:color w:val="333333"/>
          <w:sz w:val="20"/>
          <w:szCs w:val="20"/>
        </w:rPr>
      </w:pPr>
      <w:bookmarkStart w:id="0" w:name="_GoBack"/>
      <w:bookmarkEnd w:id="0"/>
    </w:p>
    <w:p w:rsidR="00AB4DCF" w:rsidRDefault="00AB4DCF"/>
    <w:sectPr w:rsidR="00AB4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51" w:rsidRDefault="002F2351" w:rsidP="000E21AF">
      <w:pPr>
        <w:spacing w:after="0" w:line="240" w:lineRule="auto"/>
      </w:pPr>
      <w:r>
        <w:separator/>
      </w:r>
    </w:p>
  </w:endnote>
  <w:endnote w:type="continuationSeparator" w:id="0">
    <w:p w:rsidR="002F2351" w:rsidRDefault="002F2351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51" w:rsidRDefault="002F2351" w:rsidP="000E21AF">
      <w:pPr>
        <w:spacing w:after="0" w:line="240" w:lineRule="auto"/>
      </w:pPr>
      <w:r>
        <w:separator/>
      </w:r>
    </w:p>
  </w:footnote>
  <w:footnote w:type="continuationSeparator" w:id="0">
    <w:p w:rsidR="002F2351" w:rsidRDefault="002F2351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D25"/>
    <w:multiLevelType w:val="hybridMultilevel"/>
    <w:tmpl w:val="78A6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145C"/>
    <w:multiLevelType w:val="hybridMultilevel"/>
    <w:tmpl w:val="2A8A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F78"/>
    <w:multiLevelType w:val="hybridMultilevel"/>
    <w:tmpl w:val="80582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7DDE"/>
    <w:multiLevelType w:val="hybridMultilevel"/>
    <w:tmpl w:val="FC247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73D1"/>
    <w:multiLevelType w:val="hybridMultilevel"/>
    <w:tmpl w:val="B5F2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3165"/>
    <w:multiLevelType w:val="hybridMultilevel"/>
    <w:tmpl w:val="59B85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1145C"/>
    <w:multiLevelType w:val="hybridMultilevel"/>
    <w:tmpl w:val="99B64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2C"/>
    <w:rsid w:val="000932D2"/>
    <w:rsid w:val="000E012C"/>
    <w:rsid w:val="000E07F8"/>
    <w:rsid w:val="000E21AF"/>
    <w:rsid w:val="00131782"/>
    <w:rsid w:val="00225B5C"/>
    <w:rsid w:val="002F2351"/>
    <w:rsid w:val="00412F9A"/>
    <w:rsid w:val="00805F06"/>
    <w:rsid w:val="00A24858"/>
    <w:rsid w:val="00AB4DCF"/>
    <w:rsid w:val="00C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E0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customStyle="1" w:styleId="Nagwek1Znak">
    <w:name w:val="Nagłówek 1 Znak"/>
    <w:basedOn w:val="Domylnaczcionkaakapitu"/>
    <w:link w:val="Nagwek1"/>
    <w:uiPriority w:val="9"/>
    <w:rsid w:val="000E012C"/>
    <w:rPr>
      <w:rFonts w:ascii="Times New Roman" w:eastAsia="Times New Roman" w:hAnsi="Times New Roman" w:cs="Times New Roman"/>
      <w:kern w:val="36"/>
      <w:sz w:val="38"/>
      <w:szCs w:val="38"/>
    </w:rPr>
  </w:style>
  <w:style w:type="character" w:styleId="Pogrubienie">
    <w:name w:val="Strong"/>
    <w:basedOn w:val="Domylnaczcionkaakapitu"/>
    <w:uiPriority w:val="22"/>
    <w:qFormat/>
    <w:rsid w:val="000E012C"/>
    <w:rPr>
      <w:b/>
      <w:bCs/>
    </w:rPr>
  </w:style>
  <w:style w:type="paragraph" w:styleId="Akapitzlist">
    <w:name w:val="List Paragraph"/>
    <w:basedOn w:val="Normalny"/>
    <w:uiPriority w:val="34"/>
    <w:qFormat/>
    <w:rsid w:val="00A248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1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E0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customStyle="1" w:styleId="Nagwek1Znak">
    <w:name w:val="Nagłówek 1 Znak"/>
    <w:basedOn w:val="Domylnaczcionkaakapitu"/>
    <w:link w:val="Nagwek1"/>
    <w:uiPriority w:val="9"/>
    <w:rsid w:val="000E012C"/>
    <w:rPr>
      <w:rFonts w:ascii="Times New Roman" w:eastAsia="Times New Roman" w:hAnsi="Times New Roman" w:cs="Times New Roman"/>
      <w:kern w:val="36"/>
      <w:sz w:val="38"/>
      <w:szCs w:val="38"/>
    </w:rPr>
  </w:style>
  <w:style w:type="character" w:styleId="Pogrubienie">
    <w:name w:val="Strong"/>
    <w:basedOn w:val="Domylnaczcionkaakapitu"/>
    <w:uiPriority w:val="22"/>
    <w:qFormat/>
    <w:rsid w:val="000E012C"/>
    <w:rPr>
      <w:b/>
      <w:bCs/>
    </w:rPr>
  </w:style>
  <w:style w:type="paragraph" w:styleId="Akapitzlist">
    <w:name w:val="List Paragraph"/>
    <w:basedOn w:val="Normalny"/>
    <w:uiPriority w:val="34"/>
    <w:qFormat/>
    <w:rsid w:val="00A248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1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54">
          <w:marLeft w:val="0"/>
          <w:marRight w:val="0"/>
          <w:marTop w:val="0"/>
          <w:marBottom w:val="0"/>
          <w:divBdr>
            <w:top w:val="single" w:sz="24" w:space="0" w:color="008238"/>
            <w:left w:val="none" w:sz="0" w:space="0" w:color="008238"/>
            <w:bottom w:val="none" w:sz="0" w:space="0" w:color="008238"/>
            <w:right w:val="none" w:sz="0" w:space="0" w:color="008238"/>
          </w:divBdr>
          <w:divsChild>
            <w:div w:id="731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1E1E1"/>
                <w:bottom w:val="none" w:sz="0" w:space="0" w:color="auto"/>
                <w:right w:val="single" w:sz="48" w:space="0" w:color="E1E1E1"/>
              </w:divBdr>
              <w:divsChild>
                <w:div w:id="10620004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86725767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957">
                          <w:marLeft w:val="-15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afeworkplac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es.ploss@heidelbergce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inik.vonAchten@heidelbergcemen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2015-06-11T07:27:00Z</dcterms:created>
  <dcterms:modified xsi:type="dcterms:W3CDTF">2015-06-11T07:27:00Z</dcterms:modified>
</cp:coreProperties>
</file>