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741A0A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</w:p>
    <w:p w:rsidR="0010146A" w:rsidRPr="00741A0A" w:rsidRDefault="00B52025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24597D"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 </w:t>
      </w:r>
      <w:r w:rsidR="00997437"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</w:p>
    <w:p w:rsidR="004C12B0" w:rsidRPr="00741A0A" w:rsidRDefault="004C12B0" w:rsidP="00F040CA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1</w:t>
      </w:r>
      <w:r w:rsidR="00F040CA" w:rsidRPr="00741A0A">
        <w:rPr>
          <w:rFonts w:ascii="Arial" w:hAnsi="Arial" w:cs="Arial"/>
          <w:b/>
          <w:sz w:val="22"/>
          <w:szCs w:val="22"/>
        </w:rPr>
        <w:t xml:space="preserve"> POSTANOWIENIA OGÓLNE</w:t>
      </w:r>
    </w:p>
    <w:p w:rsidR="000E5019" w:rsidRPr="00741A0A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</w:t>
      </w:r>
      <w:r w:rsidR="00C54577" w:rsidRPr="00741A0A">
        <w:rPr>
          <w:rFonts w:ascii="Arial" w:hAnsi="Arial" w:cs="Arial"/>
          <w:sz w:val="22"/>
          <w:szCs w:val="22"/>
        </w:rPr>
        <w:t xml:space="preserve">niniejszych </w:t>
      </w:r>
      <w:r w:rsidR="00424A38" w:rsidRPr="00741A0A">
        <w:rPr>
          <w:rFonts w:ascii="Arial" w:hAnsi="Arial" w:cs="Arial"/>
          <w:sz w:val="22"/>
          <w:szCs w:val="22"/>
        </w:rPr>
        <w:t>Wymaganiach</w:t>
      </w:r>
      <w:r w:rsidRPr="00741A0A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741A0A" w:rsidRPr="00741A0A" w:rsidTr="00876465">
        <w:trPr>
          <w:trHeight w:val="64"/>
        </w:trPr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instytucje na rzecz których świadczona jest umowa,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2018. poz. 412).</w:t>
            </w:r>
          </w:p>
        </w:tc>
      </w:tr>
    </w:tbl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Wymagania określają zasady ochrony informacji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ustalenia, że Wykonawca nie realizuje określonych w ustawie lub Wymaganiach postanowień 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>z rozdziału XXXIII ustawy z dnia 6 czerwca 1997 r. Kodeks Karny.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997E89" w:rsidRPr="00741A0A" w:rsidRDefault="00997E89" w:rsidP="00997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2 OBOWIĄZKI WYKONAWCY</w:t>
      </w:r>
    </w:p>
    <w:p w:rsidR="00E64F56" w:rsidRPr="00741A0A" w:rsidRDefault="00E64F56" w:rsidP="00E64F56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w pomieszczeniach Zamawiającego lub Beneficjentów, w których przetwarzane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są informacje niejawne, na Wykonawcy ciąży obowiązek ochrony informacji uzyskanych w toku realizacji umowy, </w:t>
      </w:r>
      <w:r w:rsidR="00B85303" w:rsidRPr="00741A0A">
        <w:rPr>
          <w:rFonts w:ascii="Arial" w:hAnsi="Arial" w:cs="Arial"/>
          <w:sz w:val="22"/>
          <w:szCs w:val="22"/>
        </w:rPr>
        <w:t xml:space="preserve">w tym </w:t>
      </w:r>
      <w:r w:rsidRPr="00741A0A">
        <w:rPr>
          <w:rFonts w:ascii="Arial" w:hAnsi="Arial" w:cs="Arial"/>
          <w:sz w:val="22"/>
          <w:szCs w:val="22"/>
        </w:rPr>
        <w:t>dotyczących w szczególności: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systemu ochrony obiektów, ich topografii, rozmieszcze</w:t>
      </w:r>
      <w:r w:rsidR="00A04982" w:rsidRPr="00741A0A">
        <w:rPr>
          <w:rFonts w:ascii="Arial" w:hAnsi="Arial" w:cs="Arial"/>
          <w:sz w:val="22"/>
          <w:szCs w:val="22"/>
        </w:rPr>
        <w:t xml:space="preserve">nia posterunków ochronnych, </w:t>
      </w:r>
      <w:r w:rsidRPr="00741A0A">
        <w:rPr>
          <w:rFonts w:ascii="Arial" w:hAnsi="Arial" w:cs="Arial"/>
          <w:sz w:val="22"/>
          <w:szCs w:val="22"/>
        </w:rPr>
        <w:t>kamer, czujek, kontroli dostępu itp.</w:t>
      </w:r>
      <w:r w:rsidR="00A04982" w:rsidRPr="00741A0A">
        <w:rPr>
          <w:rFonts w:ascii="Arial" w:hAnsi="Arial" w:cs="Arial"/>
          <w:sz w:val="22"/>
          <w:szCs w:val="22"/>
        </w:rPr>
        <w:t>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rozmieszczenia lub przez</w:t>
      </w:r>
      <w:r w:rsidR="00741A0A">
        <w:rPr>
          <w:rFonts w:ascii="Arial" w:hAnsi="Arial" w:cs="Arial"/>
          <w:sz w:val="22"/>
          <w:szCs w:val="22"/>
        </w:rPr>
        <w:t xml:space="preserve">naczenia budynków, pomieszczeń </w:t>
      </w:r>
      <w:r w:rsidRPr="00741A0A">
        <w:rPr>
          <w:rFonts w:ascii="Arial" w:hAnsi="Arial" w:cs="Arial"/>
          <w:sz w:val="22"/>
          <w:szCs w:val="22"/>
        </w:rPr>
        <w:t>i urządzeń wojskowych,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lastRenderedPageBreak/>
        <w:t>sposobu organizacji pracy przez poszczególnych pracowników, pełnionych przez nich funkcji oraz ich danych osobowych</w:t>
      </w:r>
      <w:r w:rsidR="00A04982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741A0A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</w:t>
      </w:r>
      <w:proofErr w:type="spellStart"/>
      <w:r w:rsidR="00FB402A" w:rsidRPr="00741A0A">
        <w:rPr>
          <w:rFonts w:ascii="Arial" w:hAnsi="Arial" w:cs="Arial"/>
          <w:sz w:val="22"/>
          <w:szCs w:val="22"/>
        </w:rPr>
        <w:t>bezwględnego</w:t>
      </w:r>
      <w:proofErr w:type="spellEnd"/>
      <w:r w:rsidRPr="00741A0A">
        <w:rPr>
          <w:rFonts w:ascii="Arial" w:hAnsi="Arial" w:cs="Arial"/>
          <w:sz w:val="22"/>
          <w:szCs w:val="22"/>
        </w:rPr>
        <w:t xml:space="preserve"> przestrzegania. Termin ewentualnego szkolenia strony uzgodnioną w trybie roboczym.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741A0A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B85303" w:rsidRPr="00741A0A" w:rsidRDefault="00D42D6E" w:rsidP="00B85303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CD2E32" w:rsidRPr="00741A0A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 xml:space="preserve">§ </w:t>
      </w:r>
      <w:r w:rsidR="00316C2C" w:rsidRPr="00741A0A">
        <w:rPr>
          <w:rFonts w:ascii="Arial" w:hAnsi="Arial" w:cs="Arial"/>
          <w:b/>
          <w:sz w:val="22"/>
          <w:szCs w:val="22"/>
        </w:rPr>
        <w:t>3</w:t>
      </w:r>
      <w:r w:rsidR="00583E89" w:rsidRPr="00741A0A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741A0A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Fakt realizowania umowy nie może być wykorzystany przez Wykonawcę do żadnego rodzaju materiałów marketingowych, ani też być prezentowany </w:t>
      </w:r>
      <w:r w:rsidRPr="00741A0A">
        <w:rPr>
          <w:rFonts w:ascii="Arial" w:hAnsi="Arial" w:cs="Arial"/>
          <w:sz w:val="22"/>
          <w:szCs w:val="22"/>
        </w:rPr>
        <w:br/>
        <w:t>w środkach masowego przekazu (tj.: prasie, radiu, telewizji, filmie, Internecie, itp.).</w:t>
      </w:r>
    </w:p>
    <w:p w:rsidR="00D42D6E" w:rsidRPr="00741A0A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741A0A" w:rsidRDefault="00E8539E" w:rsidP="00C355DB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Wymagania</w:t>
      </w:r>
      <w:r w:rsidR="00B34623" w:rsidRPr="00741A0A">
        <w:rPr>
          <w:rFonts w:ascii="Arial" w:hAnsi="Arial" w:cs="Arial"/>
          <w:sz w:val="22"/>
          <w:szCs w:val="22"/>
        </w:rPr>
        <w:t xml:space="preserve"> wykonano w </w:t>
      </w:r>
      <w:r w:rsidR="00D2752C" w:rsidRPr="00741A0A">
        <w:rPr>
          <w:rFonts w:ascii="Arial" w:hAnsi="Arial" w:cs="Arial"/>
          <w:sz w:val="22"/>
          <w:szCs w:val="22"/>
        </w:rPr>
        <w:t>……….</w:t>
      </w:r>
      <w:r w:rsidR="001E599A" w:rsidRPr="00741A0A">
        <w:rPr>
          <w:rFonts w:ascii="Arial" w:hAnsi="Arial" w:cs="Arial"/>
          <w:sz w:val="22"/>
          <w:szCs w:val="22"/>
        </w:rPr>
        <w:t xml:space="preserve"> </w:t>
      </w:r>
      <w:r w:rsidR="00E3519D" w:rsidRPr="00741A0A">
        <w:rPr>
          <w:rFonts w:ascii="Arial" w:hAnsi="Arial" w:cs="Arial"/>
          <w:sz w:val="22"/>
          <w:szCs w:val="22"/>
        </w:rPr>
        <w:t xml:space="preserve">jednobrzmiących </w:t>
      </w:r>
      <w:r w:rsidR="001E599A" w:rsidRPr="00741A0A">
        <w:rPr>
          <w:rFonts w:ascii="Arial" w:hAnsi="Arial" w:cs="Arial"/>
          <w:sz w:val="22"/>
          <w:szCs w:val="22"/>
        </w:rPr>
        <w:t>egz</w:t>
      </w:r>
      <w:r w:rsidR="008A5E5D" w:rsidRPr="00741A0A">
        <w:rPr>
          <w:rFonts w:ascii="Arial" w:hAnsi="Arial" w:cs="Arial"/>
          <w:sz w:val="22"/>
          <w:szCs w:val="22"/>
        </w:rPr>
        <w:t>emplarzach</w:t>
      </w:r>
      <w:r w:rsidR="00B34623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741A0A" w:rsidTr="00B85303">
        <w:tc>
          <w:tcPr>
            <w:tcW w:w="4503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282C60" w:rsidRPr="00741A0A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583E89" w:rsidRPr="00741A0A" w:rsidRDefault="00583E89" w:rsidP="00583E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07BE1" w:rsidRPr="00741A0A" w:rsidRDefault="00907BE1" w:rsidP="00D42D6E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741A0A" w:rsidSect="00B85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76" w:rsidRDefault="00C11F76" w:rsidP="009D2828">
      <w:r>
        <w:separator/>
      </w:r>
    </w:p>
  </w:endnote>
  <w:endnote w:type="continuationSeparator" w:id="0">
    <w:p w:rsidR="00C11F76" w:rsidRDefault="00C11F76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>
              <w:tab/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PAGE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560A3D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  <w:r w:rsidR="0029308B" w:rsidRPr="008101C4">
              <w:rPr>
                <w:rFonts w:ascii="Arial" w:hAnsi="Arial" w:cs="Arial"/>
                <w:sz w:val="22"/>
              </w:rPr>
              <w:t xml:space="preserve"> / 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NUMPAGES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560A3D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3D" w:rsidRDefault="00560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76" w:rsidRDefault="00C11F76" w:rsidP="009D2828">
      <w:r>
        <w:separator/>
      </w:r>
    </w:p>
  </w:footnote>
  <w:footnote w:type="continuationSeparator" w:id="0">
    <w:p w:rsidR="00C11F76" w:rsidRDefault="00C11F76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3D" w:rsidRDefault="00560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C4" w:rsidRPr="00A6402F" w:rsidRDefault="008101C4" w:rsidP="008101C4">
    <w:pPr>
      <w:pStyle w:val="Nagwek"/>
      <w:jc w:val="right"/>
      <w:rPr>
        <w:rFonts w:ascii="Arial" w:hAnsi="Arial" w:cs="Arial"/>
        <w:sz w:val="22"/>
      </w:rPr>
    </w:pPr>
    <w:r w:rsidRPr="00A6402F">
      <w:rPr>
        <w:rFonts w:ascii="Arial" w:hAnsi="Arial" w:cs="Arial"/>
        <w:sz w:val="22"/>
      </w:rPr>
      <w:t xml:space="preserve">Załącznik nr </w:t>
    </w:r>
    <w:r w:rsidR="00560A3D">
      <w:rPr>
        <w:rFonts w:ascii="Arial" w:hAnsi="Arial" w:cs="Arial"/>
        <w:sz w:val="22"/>
      </w:rPr>
      <w:t>8 do umowy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3D" w:rsidRDefault="00560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3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21"/>
  </w:num>
  <w:num w:numId="15">
    <w:abstractNumId w:val="25"/>
  </w:num>
  <w:num w:numId="16">
    <w:abstractNumId w:val="0"/>
  </w:num>
  <w:num w:numId="17">
    <w:abstractNumId w:val="22"/>
  </w:num>
  <w:num w:numId="18">
    <w:abstractNumId w:val="24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4"/>
  </w:num>
  <w:num w:numId="24">
    <w:abstractNumId w:val="14"/>
  </w:num>
  <w:num w:numId="25">
    <w:abstractNumId w:val="5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42377"/>
    <w:rsid w:val="0005229F"/>
    <w:rsid w:val="000522AA"/>
    <w:rsid w:val="000643B8"/>
    <w:rsid w:val="0007335D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82C60"/>
    <w:rsid w:val="0029308B"/>
    <w:rsid w:val="002A50BF"/>
    <w:rsid w:val="002A54A9"/>
    <w:rsid w:val="002B6B91"/>
    <w:rsid w:val="002B70B5"/>
    <w:rsid w:val="002C29A5"/>
    <w:rsid w:val="002C576F"/>
    <w:rsid w:val="002D00DF"/>
    <w:rsid w:val="002D2794"/>
    <w:rsid w:val="002F4B30"/>
    <w:rsid w:val="00316C2C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386A"/>
    <w:rsid w:val="00421586"/>
    <w:rsid w:val="004216EC"/>
    <w:rsid w:val="004223C4"/>
    <w:rsid w:val="00423518"/>
    <w:rsid w:val="00424A38"/>
    <w:rsid w:val="004327AA"/>
    <w:rsid w:val="0043333F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54FFF"/>
    <w:rsid w:val="005560B5"/>
    <w:rsid w:val="00560A3D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D1687"/>
    <w:rsid w:val="006D6CD3"/>
    <w:rsid w:val="007117CC"/>
    <w:rsid w:val="0071217A"/>
    <w:rsid w:val="007133D4"/>
    <w:rsid w:val="007217EB"/>
    <w:rsid w:val="00721ACF"/>
    <w:rsid w:val="00730EE8"/>
    <w:rsid w:val="007408E0"/>
    <w:rsid w:val="00741A0A"/>
    <w:rsid w:val="007503F9"/>
    <w:rsid w:val="00750A17"/>
    <w:rsid w:val="007704C4"/>
    <w:rsid w:val="0079106D"/>
    <w:rsid w:val="00796DC2"/>
    <w:rsid w:val="007D070E"/>
    <w:rsid w:val="007D1F62"/>
    <w:rsid w:val="007E1856"/>
    <w:rsid w:val="007E65AE"/>
    <w:rsid w:val="00800968"/>
    <w:rsid w:val="00804A69"/>
    <w:rsid w:val="008101C4"/>
    <w:rsid w:val="008129FF"/>
    <w:rsid w:val="00814F8F"/>
    <w:rsid w:val="00840FB7"/>
    <w:rsid w:val="00850C1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E89"/>
    <w:rsid w:val="009B0232"/>
    <w:rsid w:val="009B50D1"/>
    <w:rsid w:val="009B5862"/>
    <w:rsid w:val="009B5E71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D3A6C"/>
    <w:rsid w:val="00AD45F0"/>
    <w:rsid w:val="00B01DD6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7177"/>
    <w:rsid w:val="00BA77FD"/>
    <w:rsid w:val="00BB47D0"/>
    <w:rsid w:val="00BC3003"/>
    <w:rsid w:val="00BD2782"/>
    <w:rsid w:val="00C00EB8"/>
    <w:rsid w:val="00C11F76"/>
    <w:rsid w:val="00C13922"/>
    <w:rsid w:val="00C26A5A"/>
    <w:rsid w:val="00C312CE"/>
    <w:rsid w:val="00C355DB"/>
    <w:rsid w:val="00C441DD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752C"/>
    <w:rsid w:val="00D407D4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4A13"/>
    <w:rsid w:val="00E64F56"/>
    <w:rsid w:val="00E73A16"/>
    <w:rsid w:val="00E803F8"/>
    <w:rsid w:val="00E8539E"/>
    <w:rsid w:val="00EB54CD"/>
    <w:rsid w:val="00EC330F"/>
    <w:rsid w:val="00EE072B"/>
    <w:rsid w:val="00F040CA"/>
    <w:rsid w:val="00F219A0"/>
    <w:rsid w:val="00F24C22"/>
    <w:rsid w:val="00F252EB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A740A"/>
  <w15:docId w15:val="{01DB3AEB-5741-4FB9-9F2A-720AD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277A-0DCF-4DF3-A929-AFF15E49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Maruszewska Magdalena</cp:lastModifiedBy>
  <cp:revision>3</cp:revision>
  <cp:lastPrinted>2019-03-12T08:19:00Z</cp:lastPrinted>
  <dcterms:created xsi:type="dcterms:W3CDTF">2020-02-17T08:29:00Z</dcterms:created>
  <dcterms:modified xsi:type="dcterms:W3CDTF">2020-02-21T14:14:00Z</dcterms:modified>
</cp:coreProperties>
</file>