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BC95" w14:textId="77777777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ABF53F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79059255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BB206" w14:textId="77777777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>publicznych</w:t>
      </w:r>
      <w:r w:rsidR="003A7C78">
        <w:rPr>
          <w:rFonts w:ascii="Times New Roman" w:hAnsi="Times New Roman" w:cs="Times New Roman"/>
          <w:sz w:val="24"/>
          <w:szCs w:val="24"/>
        </w:rPr>
        <w:t>.</w:t>
      </w:r>
    </w:p>
    <w:p w14:paraId="527986CA" w14:textId="77777777" w:rsidR="002A0D30" w:rsidRDefault="002A0D30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4E1D4" w14:textId="77777777" w:rsidR="003A7C78" w:rsidRDefault="003A7C78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851D0" w14:textId="77777777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DF7838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7B7EED79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45615AE" wp14:editId="058AA821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923B5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BAE33" w14:textId="77777777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2A0D30">
        <w:rPr>
          <w:rFonts w:ascii="Times New Roman" w:hAnsi="Times New Roman" w:cs="Times New Roman"/>
          <w:sz w:val="24"/>
          <w:szCs w:val="24"/>
        </w:rPr>
        <w:t>:</w:t>
      </w:r>
    </w:p>
    <w:p w14:paraId="7CA68D07" w14:textId="77777777" w:rsidR="002A0D30" w:rsidRDefault="002A0D30" w:rsidP="002A0D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C7D2FB8" w14:textId="77777777" w:rsidR="003A7C78" w:rsidRPr="003A7C78" w:rsidRDefault="00311962" w:rsidP="003A7C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3A7C78" w:rsidRPr="003A7C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„Zakup fabrycznie nowego samochodu do przewozu osób, w tym </w:t>
      </w:r>
    </w:p>
    <w:p w14:paraId="099C6829" w14:textId="77777777" w:rsidR="003A7C78" w:rsidRPr="003A7C78" w:rsidRDefault="003A7C78" w:rsidP="003A7C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7C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osób niepełnosprawnych”</w:t>
      </w:r>
    </w:p>
    <w:p w14:paraId="505496DB" w14:textId="77777777" w:rsidR="00872FBA" w:rsidRDefault="00872FBA" w:rsidP="003A7C78">
      <w:pPr>
        <w:tabs>
          <w:tab w:val="center" w:pos="4536"/>
          <w:tab w:val="left" w:pos="6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2C1E9B" w14:textId="77777777" w:rsidR="002A0D30" w:rsidRDefault="002A0D30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F125A" w14:textId="77777777" w:rsidR="00A6395F" w:rsidRDefault="00A6395F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FCBB5" w14:textId="77777777" w:rsidR="003A7C78" w:rsidRDefault="003A7C78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69D66" w14:textId="77777777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DA476F">
        <w:rPr>
          <w:rFonts w:ascii="Times New Roman" w:hAnsi="Times New Roman" w:cs="Times New Roman"/>
          <w:b/>
          <w:sz w:val="24"/>
          <w:szCs w:val="24"/>
        </w:rPr>
        <w:t>RI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.271.</w:t>
      </w:r>
      <w:r w:rsidR="00311962">
        <w:rPr>
          <w:rFonts w:ascii="Times New Roman" w:hAnsi="Times New Roman" w:cs="Times New Roman"/>
          <w:b/>
          <w:sz w:val="24"/>
          <w:szCs w:val="24"/>
        </w:rPr>
        <w:t>1</w:t>
      </w:r>
      <w:r w:rsidR="003A7C78">
        <w:rPr>
          <w:rFonts w:ascii="Times New Roman" w:hAnsi="Times New Roman" w:cs="Times New Roman"/>
          <w:b/>
          <w:sz w:val="24"/>
          <w:szCs w:val="24"/>
        </w:rPr>
        <w:t>5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</w:t>
      </w:r>
      <w:r w:rsidR="00DA476F">
        <w:rPr>
          <w:rFonts w:ascii="Times New Roman" w:hAnsi="Times New Roman" w:cs="Times New Roman"/>
          <w:b/>
          <w:sz w:val="24"/>
          <w:szCs w:val="24"/>
        </w:rPr>
        <w:t>3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1650FFD7" w14:textId="77777777" w:rsidR="002A0D30" w:rsidRDefault="002A0D3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38DE8" w14:textId="77777777" w:rsidR="003A7C78" w:rsidRDefault="003A7C78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7DCF7" w14:textId="77777777" w:rsidR="003A7C78" w:rsidRDefault="003A7C78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4C7DA" w14:textId="77777777" w:rsidR="003A7C78" w:rsidRDefault="003A7C78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39AB0" w14:textId="77777777" w:rsidR="003A7C78" w:rsidRDefault="003A7C78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21705" w14:textId="77777777" w:rsidR="00EE24BD" w:rsidRDefault="00EE24B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A06C9" w14:textId="77777777" w:rsidR="00EE24BD" w:rsidRDefault="00EE24B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34367" w14:textId="77777777" w:rsidR="003A7C78" w:rsidRDefault="003A7C78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DE66F" w14:textId="77777777" w:rsidR="004522C2" w:rsidRDefault="004522C2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E1407" w14:textId="36B9EE76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</w:t>
      </w:r>
      <w:r w:rsidRPr="004522C2">
        <w:rPr>
          <w:rFonts w:ascii="Times New Roman" w:hAnsi="Times New Roman" w:cs="Times New Roman"/>
          <w:sz w:val="24"/>
          <w:szCs w:val="24"/>
        </w:rPr>
        <w:t xml:space="preserve">dnia </w:t>
      </w:r>
      <w:r w:rsidR="00CD209E" w:rsidRPr="004522C2">
        <w:rPr>
          <w:rFonts w:ascii="Times New Roman" w:hAnsi="Times New Roman" w:cs="Times New Roman"/>
          <w:sz w:val="24"/>
          <w:szCs w:val="24"/>
        </w:rPr>
        <w:t>27</w:t>
      </w:r>
      <w:r w:rsidR="003A7C78" w:rsidRPr="004522C2">
        <w:rPr>
          <w:rFonts w:ascii="Times New Roman" w:hAnsi="Times New Roman" w:cs="Times New Roman"/>
          <w:sz w:val="24"/>
          <w:szCs w:val="24"/>
        </w:rPr>
        <w:t>.11</w:t>
      </w:r>
      <w:r w:rsidR="00DA476F" w:rsidRPr="004522C2">
        <w:rPr>
          <w:rFonts w:ascii="Times New Roman" w:hAnsi="Times New Roman" w:cs="Times New Roman"/>
          <w:sz w:val="24"/>
          <w:szCs w:val="24"/>
        </w:rPr>
        <w:t>.2023</w:t>
      </w:r>
      <w:r w:rsidR="006B2AAC" w:rsidRPr="004522C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9CC40F6" w14:textId="77777777" w:rsidR="004522C2" w:rsidRDefault="004522C2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F7A678" w14:textId="77777777" w:rsidR="004522C2" w:rsidRDefault="004522C2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6FB627" w14:textId="2BE504D8" w:rsidR="00910195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5BA8D8D1" w14:textId="77777777" w:rsidTr="002F7E9B">
        <w:tc>
          <w:tcPr>
            <w:tcW w:w="9180" w:type="dxa"/>
            <w:shd w:val="pct10" w:color="auto" w:fill="auto"/>
          </w:tcPr>
          <w:p w14:paraId="49ABB76E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7792AC4E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9192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975FD4D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5E83458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A6395F">
        <w:rPr>
          <w:rFonts w:ascii="Times New Roman" w:hAnsi="Times New Roman" w:cs="Times New Roman"/>
          <w:sz w:val="24"/>
          <w:szCs w:val="24"/>
        </w:rPr>
        <w:t>Przemysława Majchrzaka -</w:t>
      </w:r>
      <w:r w:rsidR="00FE0189">
        <w:rPr>
          <w:rFonts w:ascii="Times New Roman" w:hAnsi="Times New Roman" w:cs="Times New Roman"/>
          <w:sz w:val="24"/>
          <w:szCs w:val="24"/>
        </w:rPr>
        <w:t xml:space="preserve"> </w:t>
      </w:r>
      <w:r w:rsidR="009E7B1F" w:rsidRPr="00FB4A19">
        <w:rPr>
          <w:rFonts w:ascii="Times New Roman" w:hAnsi="Times New Roman" w:cs="Times New Roman"/>
          <w:sz w:val="24"/>
          <w:szCs w:val="24"/>
        </w:rPr>
        <w:t>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FC5C7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11234CCC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5D7F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7C19B8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5FF377A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1A41B99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924E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508A80D9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6C7DDC1F" w14:textId="77777777" w:rsidR="00C370EB" w:rsidRPr="00744F7D" w:rsidRDefault="00000000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372828E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723A4E10" w14:textId="77777777" w:rsidTr="00A14116">
        <w:tc>
          <w:tcPr>
            <w:tcW w:w="9180" w:type="dxa"/>
            <w:shd w:val="pct10" w:color="auto" w:fill="auto"/>
          </w:tcPr>
          <w:p w14:paraId="4B074DA3" w14:textId="77777777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</w:t>
            </w:r>
            <w:r w:rsidR="00F102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41D1B293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24BC877F" w14:textId="77777777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6E1A9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61D6B9BF" w14:textId="77777777" w:rsidTr="00057723">
        <w:tc>
          <w:tcPr>
            <w:tcW w:w="9180" w:type="dxa"/>
            <w:shd w:val="pct10" w:color="auto" w:fill="auto"/>
          </w:tcPr>
          <w:p w14:paraId="702BF805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05A0BDD1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9E9DD9" w14:textId="77777777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71D7">
        <w:rPr>
          <w:rFonts w:ascii="Times New Roman" w:hAnsi="Times New Roman" w:cs="Times New Roman"/>
          <w:sz w:val="24"/>
          <w:szCs w:val="24"/>
        </w:rPr>
        <w:t>zwanej dalej "ustawą Pzp"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1A1A33AC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158AF5CE" w14:textId="77777777" w:rsidTr="00984A74">
        <w:tc>
          <w:tcPr>
            <w:tcW w:w="9180" w:type="dxa"/>
            <w:shd w:val="pct10" w:color="auto" w:fill="auto"/>
          </w:tcPr>
          <w:p w14:paraId="7A3D1CE8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0F04ADB1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880836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FE034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697DE4E5" w14:textId="77777777" w:rsidTr="00984A74">
        <w:tc>
          <w:tcPr>
            <w:tcW w:w="9180" w:type="dxa"/>
            <w:shd w:val="pct10" w:color="auto" w:fill="auto"/>
          </w:tcPr>
          <w:p w14:paraId="6838E389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DC31523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600EA16D" w14:textId="77777777" w:rsidR="009836CE" w:rsidRPr="009836CE" w:rsidRDefault="00F20562" w:rsidP="00D240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53B7E7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E293" w14:textId="77777777" w:rsidR="003A7C78" w:rsidRPr="003A7C78" w:rsidRDefault="003A7C78" w:rsidP="003A7C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fabrycznie nowego samochodu do przewozu osób, w tym </w:t>
      </w:r>
    </w:p>
    <w:p w14:paraId="297AEA16" w14:textId="77777777" w:rsidR="003A7C78" w:rsidRPr="003A7C78" w:rsidRDefault="003A7C78" w:rsidP="003A7C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 niepełnosprawnych”</w:t>
      </w:r>
    </w:p>
    <w:p w14:paraId="6B7308CF" w14:textId="77777777" w:rsidR="00311962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725DD98" w14:textId="7777777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2B2D561" w14:textId="77777777" w:rsidR="00A47E33" w:rsidRPr="006F176C" w:rsidRDefault="00124146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76C">
        <w:rPr>
          <w:rFonts w:ascii="Times New Roman" w:hAnsi="Times New Roman" w:cs="Times New Roman"/>
          <w:b/>
          <w:sz w:val="24"/>
          <w:szCs w:val="24"/>
        </w:rPr>
        <w:lastRenderedPageBreak/>
        <w:t>Kod</w:t>
      </w:r>
      <w:r w:rsidR="00247B22" w:rsidRPr="006F176C">
        <w:rPr>
          <w:rFonts w:ascii="Times New Roman" w:hAnsi="Times New Roman" w:cs="Times New Roman"/>
          <w:b/>
          <w:sz w:val="24"/>
          <w:szCs w:val="24"/>
        </w:rPr>
        <w:t>y CPV</w:t>
      </w:r>
      <w:r w:rsidR="00A47E33" w:rsidRPr="006F176C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61B0B6D0" w14:textId="77777777" w:rsidR="003A7C78" w:rsidRPr="003A7C78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GŁÓWNY:     </w:t>
      </w:r>
    </w:p>
    <w:p w14:paraId="53623BD4" w14:textId="77777777" w:rsidR="003A7C78" w:rsidRPr="003A7C78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CPV 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34110000-1 Samochód osobowy</w:t>
      </w:r>
    </w:p>
    <w:p w14:paraId="7A9E0DED" w14:textId="77777777" w:rsidR="003A7C78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893C1B" w14:textId="77777777" w:rsidR="003A7C78" w:rsidRPr="003A7C78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7D386CA" w14:textId="77777777" w:rsidR="003A7C78" w:rsidRPr="003A7C78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34114400-3 Minibusy,</w:t>
      </w:r>
    </w:p>
    <w:p w14:paraId="68E6C8F3" w14:textId="77777777" w:rsidR="0002186F" w:rsidRPr="006F176C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34115200-8 Pojazdy silnikowe do transportu mniej niż 10 osób</w:t>
      </w:r>
    </w:p>
    <w:p w14:paraId="78B7FCBF" w14:textId="77777777" w:rsidR="00A3057E" w:rsidRPr="006F176C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45682FDC" w14:textId="77777777" w:rsidR="004C6A76" w:rsidRPr="006F176C" w:rsidRDefault="009F514E" w:rsidP="00D2404C">
      <w:pPr>
        <w:pStyle w:val="Tekstpodstawowy"/>
        <w:numPr>
          <w:ilvl w:val="0"/>
          <w:numId w:val="36"/>
        </w:numPr>
        <w:spacing w:line="276" w:lineRule="auto"/>
        <w:rPr>
          <w:rFonts w:eastAsia="Calibri"/>
        </w:rPr>
      </w:pPr>
      <w:r w:rsidRPr="006F176C">
        <w:rPr>
          <w:b/>
        </w:rPr>
        <w:t>Miejsce realizacji zamówienia:</w:t>
      </w:r>
      <w:r w:rsidRPr="006F176C">
        <w:t xml:space="preserve"> </w:t>
      </w:r>
      <w:bookmarkStart w:id="1" w:name="_Hlk488395543"/>
    </w:p>
    <w:p w14:paraId="4900EA28" w14:textId="77777777" w:rsidR="000E589D" w:rsidRDefault="003057D0" w:rsidP="003A7C78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Kompletny przedmiot zamówienia należy dostarczyć do Urzędu Gminy w Wągrowcu ul. Cysterska 22, 62-100 Wągrowiec.</w:t>
      </w:r>
    </w:p>
    <w:p w14:paraId="4323D533" w14:textId="77777777" w:rsidR="003A7C78" w:rsidRPr="006F176C" w:rsidRDefault="003A7C78" w:rsidP="003A7C78">
      <w:pPr>
        <w:pStyle w:val="Tekstpodstawowy"/>
        <w:spacing w:line="276" w:lineRule="auto"/>
        <w:ind w:left="708"/>
        <w:rPr>
          <w:rFonts w:eastAsia="Calibri"/>
        </w:rPr>
      </w:pPr>
    </w:p>
    <w:bookmarkEnd w:id="1"/>
    <w:p w14:paraId="50B6E91B" w14:textId="77777777" w:rsidR="00124146" w:rsidRPr="006F176C" w:rsidRDefault="00D25973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6C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710DB3" w:rsidRPr="006F176C">
        <w:rPr>
          <w:rFonts w:ascii="Times New Roman" w:hAnsi="Times New Roman" w:cs="Times New Roman"/>
          <w:b/>
          <w:sz w:val="24"/>
          <w:szCs w:val="24"/>
        </w:rPr>
        <w:t>dostaw</w:t>
      </w:r>
      <w:r w:rsidR="003A7C78">
        <w:rPr>
          <w:rFonts w:ascii="Times New Roman" w:hAnsi="Times New Roman" w:cs="Times New Roman"/>
          <w:b/>
          <w:sz w:val="24"/>
          <w:szCs w:val="24"/>
        </w:rPr>
        <w:t>y</w:t>
      </w:r>
    </w:p>
    <w:p w14:paraId="14199A03" w14:textId="4A1FCFF9" w:rsidR="003A7C78" w:rsidRPr="003A7C78" w:rsidRDefault="003A7C78" w:rsidP="00F53857">
      <w:pPr>
        <w:pStyle w:val="Akapitzlist"/>
        <w:spacing w:after="0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 zamówienia obejmuje: zakup i dostawę fabrycznie nowego – 9 osobowego samochodu przystosowanego do przewozu osób niepełnosprawnych, w tym dla </w:t>
      </w:r>
      <w:r w:rsidR="0065632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jednej osoby </w:t>
      </w:r>
      <w:r w:rsidRPr="00F40B8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na wózku inwalidzkim</w:t>
      </w:r>
      <w:r w:rsidR="001D01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5361977" w14:textId="77777777" w:rsidR="003A7C78" w:rsidRDefault="003A7C78" w:rsidP="003A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7BC2CB" w14:textId="77777777" w:rsidR="003A7C78" w:rsidRPr="003A7C78" w:rsidRDefault="003A7C78" w:rsidP="009F512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minimalnych wymaganych parametrów techniczno-użytkowych, wyposażenia samochodu oraz wymagań w zakresie dostępności dla osób niepełnosprawnych został opisany w  specyfikacji technicznej, stanowiącej Załącznik Nr 7 do SWZ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1ECDA68" w14:textId="77777777" w:rsidR="00D70189" w:rsidRDefault="00D70189" w:rsidP="0065599B">
      <w:pPr>
        <w:pStyle w:val="Tekstpodstawowy"/>
        <w:spacing w:line="276" w:lineRule="auto"/>
        <w:rPr>
          <w:b/>
        </w:rPr>
      </w:pPr>
    </w:p>
    <w:p w14:paraId="5683C0F0" w14:textId="77777777" w:rsidR="00F4433D" w:rsidRPr="007C63C8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178DAC61" w14:textId="77777777" w:rsidR="003A7C78" w:rsidRDefault="003A7C78" w:rsidP="009F5122">
      <w:pPr>
        <w:pStyle w:val="Tekstpodstawowy"/>
        <w:spacing w:line="276" w:lineRule="auto"/>
        <w:ind w:left="720"/>
      </w:pPr>
      <w:r>
        <w:t>1)</w:t>
      </w:r>
      <w:r>
        <w:tab/>
        <w:t>Ustawa z dnia 11 września 2019 r. Prawo zamówień publicznych (Dz.U. z</w:t>
      </w:r>
      <w:r w:rsidR="009F5122">
        <w:t> </w:t>
      </w:r>
      <w:r>
        <w:t>2023r. poz.1605 t. j. ze zm.)  oraz aktualnie obowiązujące akty wykonawcze do ustawy, w szczególności:</w:t>
      </w:r>
    </w:p>
    <w:p w14:paraId="311ABC03" w14:textId="77777777" w:rsidR="003A7C78" w:rsidRDefault="003A7C78" w:rsidP="009F5122">
      <w:pPr>
        <w:pStyle w:val="Tekstpodstawowy"/>
        <w:spacing w:line="276" w:lineRule="auto"/>
        <w:ind w:left="720"/>
      </w:pPr>
      <w:r>
        <w:t>-  Rozporządzenie Ministra Rozwoju, Pracy i Technologii z dnia 23 grudnia 2020r. w sprawie podmiotowych środków dowodowych oraz innych dokumentów lub oświadczeń, jakich może żądać zamawiający od wykonawcy (Dz.U z dnia 30 grudnia 2020r. poz. 2415)</w:t>
      </w:r>
    </w:p>
    <w:p w14:paraId="69AB9076" w14:textId="77777777" w:rsidR="003A7C78" w:rsidRDefault="003A7C78" w:rsidP="009F5122">
      <w:pPr>
        <w:pStyle w:val="Tekstpodstawowy"/>
        <w:spacing w:line="276" w:lineRule="auto"/>
        <w:ind w:left="720"/>
      </w:pPr>
      <w:r>
        <w:t>-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31 grudnia 2020 poz.2452),</w:t>
      </w:r>
    </w:p>
    <w:p w14:paraId="75D1E2BE" w14:textId="77777777" w:rsidR="003A7C78" w:rsidRDefault="003A7C78" w:rsidP="009F5122">
      <w:pPr>
        <w:pStyle w:val="Tekstpodstawowy"/>
        <w:spacing w:line="276" w:lineRule="auto"/>
        <w:ind w:left="720"/>
      </w:pPr>
      <w:r>
        <w:t>- Rozporządzenie Rady Ministrów z dnia 12 kwietnia 2012 r. w sprawie Krajowych Ram Interoperacyjności, minimalnych wymagań dla rejestrów publicznych                             i wymiany informacji w postaci elektronicznej oraz minimalnych wymagań dla systemów teleinformatycznych (Dz.U. z 2017 r., poz. 2247 t.j.);</w:t>
      </w:r>
    </w:p>
    <w:p w14:paraId="0FF49819" w14:textId="77777777" w:rsidR="003A7C78" w:rsidRDefault="003A7C78" w:rsidP="009F5122">
      <w:pPr>
        <w:pStyle w:val="Tekstpodstawowy"/>
        <w:spacing w:line="276" w:lineRule="auto"/>
        <w:ind w:left="720"/>
      </w:pPr>
      <w:r>
        <w:t>2)</w:t>
      </w:r>
      <w:r>
        <w:tab/>
        <w:t>Ustawa z dnia 19 lipca 2019 r. o zapewnieniu dostępności osobom ze szczególnymi potrzebami (Dz. U. z 2022 poz. 2240 t. j.);</w:t>
      </w:r>
    </w:p>
    <w:p w14:paraId="357BC156" w14:textId="77777777" w:rsidR="003A7C78" w:rsidRDefault="009F5122" w:rsidP="009F5122">
      <w:pPr>
        <w:pStyle w:val="Tekstpodstawowy"/>
        <w:spacing w:line="276" w:lineRule="auto"/>
        <w:ind w:left="720"/>
      </w:pPr>
      <w:r>
        <w:t>3</w:t>
      </w:r>
      <w:r w:rsidR="003A7C78">
        <w:t>)</w:t>
      </w:r>
      <w:r w:rsidR="003A7C78">
        <w:tab/>
        <w:t>Ustawa z dnia 20 czerwca 1997 r. Prawo o ruchu drogowym (Dz. U. z 2023 r. poz. 1047 t.j.e zm.),</w:t>
      </w:r>
    </w:p>
    <w:p w14:paraId="67B4DA4E" w14:textId="77777777" w:rsidR="003A7C78" w:rsidRDefault="009F5122" w:rsidP="009F5122">
      <w:pPr>
        <w:pStyle w:val="Tekstpodstawowy"/>
        <w:spacing w:line="276" w:lineRule="auto"/>
        <w:ind w:left="720"/>
      </w:pPr>
      <w:r>
        <w:lastRenderedPageBreak/>
        <w:t>4</w:t>
      </w:r>
      <w:r w:rsidR="003A7C78">
        <w:t>)</w:t>
      </w:r>
      <w:r w:rsidR="003A7C78">
        <w:tab/>
        <w:t>Rozporządzenie Ministra Infrastruktury z dnia 31 grudnia 2002 r. w sprawie warunków technicznych pojazdów oraz zakresu ich niezbędnego wyposażenia (Dz. U. z 2016 r., poz. 2022 t. j.),</w:t>
      </w:r>
    </w:p>
    <w:p w14:paraId="2027C8EA" w14:textId="77777777" w:rsidR="00DA476F" w:rsidRDefault="009F5122" w:rsidP="009F5122">
      <w:pPr>
        <w:pStyle w:val="Tekstpodstawowy"/>
        <w:spacing w:line="276" w:lineRule="auto"/>
        <w:ind w:left="720"/>
      </w:pPr>
      <w:r>
        <w:t>5</w:t>
      </w:r>
      <w:r w:rsidR="003A7C78">
        <w:t>)</w:t>
      </w:r>
      <w:r w:rsidR="003A7C78">
        <w:tab/>
        <w:t>przepisy i wytyczne branżowe.</w:t>
      </w:r>
    </w:p>
    <w:p w14:paraId="31538609" w14:textId="77777777" w:rsidR="00F53857" w:rsidRPr="00DA476F" w:rsidRDefault="00F53857" w:rsidP="00F53857">
      <w:pPr>
        <w:pStyle w:val="Tekstpodstawowy"/>
        <w:spacing w:line="276" w:lineRule="auto"/>
        <w:rPr>
          <w:b/>
        </w:rPr>
      </w:pPr>
    </w:p>
    <w:p w14:paraId="6C49D69E" w14:textId="77777777" w:rsidR="00AC16FC" w:rsidRPr="00FF1F5F" w:rsidRDefault="00FF3E8A" w:rsidP="00DA476F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FF1F5F">
        <w:rPr>
          <w:b/>
        </w:rPr>
        <w:t xml:space="preserve">Zasady </w:t>
      </w:r>
      <w:r w:rsidR="004276F1" w:rsidRPr="00FF1F5F">
        <w:rPr>
          <w:b/>
        </w:rPr>
        <w:t>realizacji dostaw</w:t>
      </w:r>
      <w:r w:rsidR="00E0380A">
        <w:rPr>
          <w:b/>
        </w:rPr>
        <w:t>y</w:t>
      </w:r>
      <w:r w:rsidR="00AC16FC" w:rsidRPr="00FF1F5F">
        <w:rPr>
          <w:b/>
        </w:rPr>
        <w:t>:</w:t>
      </w:r>
    </w:p>
    <w:p w14:paraId="67BB52F2" w14:textId="77777777" w:rsidR="009F5122" w:rsidRDefault="00F53857" w:rsidP="009F5122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ojazd fabrycznie nowy, nieużywany, wolny od wad fizycznych i prawnych. Pojazd posiadający wszystkie wymagane przepisami prawa zezwolenia na użytkowanie oraz  dopuszczenia do obrotu. Pojazd posiadający świadectwo homologacji na pojazd osobowy o liczbie miejsc 9 w tym kierowca (ilość miejsc siedzących:</w:t>
      </w:r>
      <w:r w:rsid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kierowca + 8 pasażerów, </w:t>
      </w:r>
      <w:r w:rsidRPr="00F40B8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w tym z możliwością transportu </w:t>
      </w:r>
      <w:r w:rsidR="0065632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jednej osoby</w:t>
      </w:r>
      <w:r w:rsidRPr="00F40B8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 na wózku inwalidzkim </w:t>
      </w:r>
      <w:r w:rsidRPr="00656324">
        <w:rPr>
          <w:rFonts w:ascii="Times New Roman" w:eastAsia="Times New Roman" w:hAnsi="Times New Roman" w:cs="Times New Roman"/>
          <w:bCs/>
          <w:strike/>
          <w:sz w:val="24"/>
          <w:szCs w:val="24"/>
          <w:highlight w:val="yellow"/>
          <w:lang w:eastAsia="pl-PL"/>
        </w:rPr>
        <w:t xml:space="preserve">po uprzednim demontażu foteli z trzeciego </w:t>
      </w:r>
      <w:r w:rsidRPr="00AD7C5B">
        <w:rPr>
          <w:rFonts w:ascii="Times New Roman" w:eastAsia="Times New Roman" w:hAnsi="Times New Roman" w:cs="Times New Roman"/>
          <w:bCs/>
          <w:strike/>
          <w:sz w:val="24"/>
          <w:szCs w:val="24"/>
          <w:highlight w:val="yellow"/>
          <w:lang w:eastAsia="pl-PL"/>
        </w:rPr>
        <w:t>rzędu</w:t>
      </w:r>
      <w:r w:rsidR="00AD7C5B" w:rsidRPr="00AD7C5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 po uprzednim złożeniu kanapy (lub miejsc siedzących) w trzecim rzędzie,</w:t>
      </w:r>
      <w:r w:rsidR="00AD7C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spełniający  warunki do przewozu osób niepełnosprawnych. Pojazd dopuszczony do ruchu zgodnie z ustawą z dnia 20 czerwca</w:t>
      </w:r>
      <w:r w:rsid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1997 r. Prawo o ruchu drogowym, oraz R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ozporządzeniem Ministra Infrastruktury z dnia 31 grudnia 2002 r. w sprawie warunków technicznych pojazdów oraz zakre</w:t>
      </w:r>
      <w:r w:rsid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 ich niezbędnego wyposażenia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Pojazd spełniający wymagania techniczne zgodnie z Rozporządzeniem Ministra Infrastruktury  z dnia 31 sierpnia 2022 r. w sprawie szczegółowych czynności organów w sprawach związanych z</w:t>
      </w:r>
      <w:r w:rsidR="00F40B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dopuszczeniem pojazdu do ruchu oraz wzorów dokumentów w tych sprawach ( Dz. U. z 2022 r. poz. 1849 ze zm.). Pojazd oznakowany zgodnie z przepisami o ruchu drogowym</w:t>
      </w:r>
    </w:p>
    <w:p w14:paraId="186A0F51" w14:textId="77777777" w:rsidR="009F5122" w:rsidRDefault="00F53857" w:rsidP="005E2AB2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serwis gwarancyjny i pogwarancyjny w odległości nie większej niż 100 km od siedziby Zamawiającego,  </w:t>
      </w:r>
    </w:p>
    <w:p w14:paraId="37DA6480" w14:textId="77777777" w:rsidR="00F53857" w:rsidRPr="009F5122" w:rsidRDefault="00F53857" w:rsidP="005E2AB2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zobligowany jest do </w:t>
      </w:r>
      <w:r w:rsidRPr="009F5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Przekazania Zamawiającemu wraz z</w:t>
      </w:r>
      <w:r w:rsidR="00F40B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9F5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pojazdem kompletu dokumentów umożliwiających  Zamawiającemu rejestrację pojazdu.</w:t>
      </w:r>
    </w:p>
    <w:p w14:paraId="504E66AE" w14:textId="77777777" w:rsidR="00F53857" w:rsidRPr="003A7C78" w:rsidRDefault="00F53857" w:rsidP="005E2AB2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przekaże Zamawiającemu następującą polskojęzyczną dokumentację techniczno-eksploatacyjną w szczególności:</w:t>
      </w:r>
    </w:p>
    <w:p w14:paraId="6AC5F56E" w14:textId="77777777" w:rsidR="00F53857" w:rsidRPr="003A7C78" w:rsidRDefault="00F53857" w:rsidP="005E2AB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instrukcję obsługi pojazdu,</w:t>
      </w:r>
    </w:p>
    <w:p w14:paraId="47655D18" w14:textId="77777777" w:rsidR="00F53857" w:rsidRPr="003A7C78" w:rsidRDefault="00F53857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książkę gwarancyjną pojazdu oraz urządzeń zamontowanych w pojeździe,</w:t>
      </w:r>
    </w:p>
    <w:p w14:paraId="16B13D5C" w14:textId="77777777" w:rsidR="00F53857" w:rsidRPr="003A7C78" w:rsidRDefault="00F53857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książkę przeglądów serwisowych,</w:t>
      </w:r>
    </w:p>
    <w:p w14:paraId="288BAB85" w14:textId="77777777" w:rsidR="00F53857" w:rsidRPr="003A7C78" w:rsidRDefault="00F53857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instrukcję obsługi urządzeń zamontowanych w pojeździe, </w:t>
      </w:r>
    </w:p>
    <w:p w14:paraId="113FD088" w14:textId="77777777" w:rsidR="00F53857" w:rsidRPr="003A7C78" w:rsidRDefault="00F53857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wykaz materiałów eksploatacyjnych zalecanych przez producenta, </w:t>
      </w:r>
    </w:p>
    <w:p w14:paraId="582FA242" w14:textId="77777777" w:rsidR="005E2AB2" w:rsidRDefault="00F53857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świadectwo homologacji oraz inne dokumenty dopuszczające do ruchu,</w:t>
      </w:r>
    </w:p>
    <w:p w14:paraId="3670A84D" w14:textId="77777777" w:rsidR="00F53857" w:rsidRPr="003A7C78" w:rsidRDefault="005E2AB2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53857"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komplet kluczy w liczbie dostarczonej przez producenta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3857"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min. 2 klucze,</w:t>
      </w:r>
    </w:p>
    <w:p w14:paraId="1AF56226" w14:textId="77777777" w:rsidR="00F53857" w:rsidRPr="003A7C78" w:rsidRDefault="00F53857" w:rsidP="005E2AB2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badania techniczne umożliwiające korzystanie z niebieskiego kwadratowego znaku oznaczającego pojazd do przewozu osób niepełnosprawnych, </w:t>
      </w:r>
    </w:p>
    <w:p w14:paraId="52C30CEB" w14:textId="77777777" w:rsidR="00F53857" w:rsidRPr="003A7C78" w:rsidRDefault="005E2AB2" w:rsidP="005E2AB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inne </w:t>
      </w:r>
      <w:r w:rsidR="00F53857"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F53857"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dokumentów niezbędn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F53857"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rejestracji pojazdu,</w:t>
      </w:r>
    </w:p>
    <w:p w14:paraId="1FD3674B" w14:textId="77777777" w:rsidR="00F53857" w:rsidRDefault="00F53857" w:rsidP="005E2AB2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wskaże adres serwisu gwarancyjnego w odległości nie większej niż 100 km od siedziby 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C2E6C82" w14:textId="77777777" w:rsidR="009F5122" w:rsidRDefault="00F53857" w:rsidP="005E2AB2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przeprowadzić szkolenie personelu w zakresie obsługi, konserwacji i bezpieczeństwa, uruchomienia pojazdu wraz z przygotowaniem jego do pracy (płyny eksploatacyjne)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C057CE8" w14:textId="77777777" w:rsidR="009F5122" w:rsidRDefault="00F53857" w:rsidP="00750833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Zaoferowany pojazd objęty zamówieniem musi gwarantować bezpieczne jego użytkowanie oraz nie zagrażać zdrowiu użytkowników,</w:t>
      </w:r>
    </w:p>
    <w:p w14:paraId="2995CDA3" w14:textId="77777777" w:rsidR="00F53857" w:rsidRPr="009F5122" w:rsidRDefault="00F53857" w:rsidP="00750833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Samochód będący przedmiotem zamówienia będzie miał wykonany przez wykonawcę i na jego koszt przegląd ,,zerowy”.</w:t>
      </w:r>
    </w:p>
    <w:p w14:paraId="72FEBBB5" w14:textId="77777777" w:rsidR="006D47E9" w:rsidRPr="004276F1" w:rsidRDefault="006D47E9" w:rsidP="004276F1">
      <w:pPr>
        <w:pStyle w:val="Tekstpodstawowy"/>
        <w:spacing w:line="276" w:lineRule="auto"/>
        <w:ind w:left="1080"/>
        <w:rPr>
          <w:b/>
        </w:rPr>
      </w:pPr>
    </w:p>
    <w:p w14:paraId="3173F243" w14:textId="77777777" w:rsidR="00341240" w:rsidRDefault="005D1A8D" w:rsidP="00D2404C">
      <w:pPr>
        <w:pStyle w:val="Tekstpodstawowy"/>
        <w:numPr>
          <w:ilvl w:val="0"/>
          <w:numId w:val="35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  <w:r w:rsidR="00085C36">
        <w:rPr>
          <w:b/>
        </w:rPr>
        <w:t>:</w:t>
      </w:r>
    </w:p>
    <w:p w14:paraId="4821B035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  <w:r w:rsidR="00750833">
        <w:rPr>
          <w:color w:val="000000"/>
        </w:rPr>
        <w:t xml:space="preserve"> </w:t>
      </w:r>
    </w:p>
    <w:p w14:paraId="4F71C01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59E3F0B9" w14:textId="77777777" w:rsidR="00341240" w:rsidRPr="009520B2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  <w:r w:rsidR="009520B2">
        <w:rPr>
          <w:color w:val="000000"/>
        </w:rPr>
        <w:t xml:space="preserve"> </w:t>
      </w:r>
    </w:p>
    <w:p w14:paraId="1896E165" w14:textId="77777777" w:rsidR="009520B2" w:rsidRPr="009520B2" w:rsidRDefault="009520B2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750833">
        <w:rPr>
          <w:color w:val="000000"/>
        </w:rPr>
        <w:t>W przypadku gdy wniosek o wyjaśnienie treści SWZ nie wpłynął w terminie, o którym mowa w punkcie 2), Zamawiający nie ma obowiązku udzielania wyjaśnień SWZ oraz obowiązku przedłużenia terminu składania ofert</w:t>
      </w:r>
    </w:p>
    <w:p w14:paraId="6F51A0A7" w14:textId="77777777" w:rsidR="009520B2" w:rsidRPr="009520B2" w:rsidRDefault="009520B2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750833">
        <w:rPr>
          <w:color w:val="000000"/>
        </w:rPr>
        <w:t>Przedłużenie terminu składania ofert,  nie wpływa na bieg terminu składania wniosku o wyjaśnienie treści odpowiednio SWZ,</w:t>
      </w:r>
    </w:p>
    <w:p w14:paraId="298D1304" w14:textId="77777777" w:rsidR="009520B2" w:rsidRPr="00054C00" w:rsidRDefault="009520B2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750833">
        <w:rPr>
          <w:rFonts w:eastAsiaTheme="minorHAnsi"/>
          <w:color w:val="000000"/>
        </w:rPr>
        <w:t>Treść zapytań wraz z wyjaśnieniami Zamawiający udostępnia, bez ujawniania źródła zapytania, na stronie internetowej prowadzonego postępowania.</w:t>
      </w:r>
    </w:p>
    <w:p w14:paraId="241F4D1B" w14:textId="77777777" w:rsidR="00054C00" w:rsidRDefault="00054C00" w:rsidP="00054C00">
      <w:pPr>
        <w:pStyle w:val="Tekstpodstawowy"/>
        <w:spacing w:line="276" w:lineRule="auto"/>
        <w:ind w:left="709"/>
        <w:rPr>
          <w:rFonts w:eastAsiaTheme="minorHAnsi"/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CA80401" w14:textId="77777777" w:rsidTr="005522FC">
        <w:tc>
          <w:tcPr>
            <w:tcW w:w="9180" w:type="dxa"/>
            <w:shd w:val="pct10" w:color="auto" w:fill="auto"/>
          </w:tcPr>
          <w:p w14:paraId="5FDDD7AD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Podwykonawcę na podstawie stosunku pracy osób, w okolicznościach o których mowa w art.</w:t>
            </w:r>
            <w:r w:rsidR="0066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95 ustawy Pzp</w:t>
            </w:r>
          </w:p>
        </w:tc>
      </w:tr>
    </w:tbl>
    <w:p w14:paraId="34AE7361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38D21FD" w14:textId="77777777" w:rsidR="00AD2E20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5E6">
        <w:rPr>
          <w:rFonts w:ascii="Times New Roman" w:hAnsi="Times New Roman" w:cs="Times New Roman"/>
          <w:sz w:val="24"/>
          <w:szCs w:val="24"/>
        </w:rPr>
        <w:t>W związku z tym, że nie zachodzą okoliczności, o których mowa w art. 95 ustawy Pzp, Zamawiający nie</w:t>
      </w:r>
      <w:r w:rsidRPr="00E4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5E6">
        <w:rPr>
          <w:rFonts w:ascii="Times New Roman" w:hAnsi="Times New Roman" w:cs="Times New Roman"/>
          <w:bCs/>
          <w:sz w:val="24"/>
          <w:szCs w:val="24"/>
        </w:rPr>
        <w:t>stawia wymagań w zakresie zatrudnienia przez Wykonawcę lub Podwykonawcę osób na podstawie stosunku pracy.</w:t>
      </w:r>
    </w:p>
    <w:p w14:paraId="785DA0E7" w14:textId="77777777" w:rsidR="005134DE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0B18D82C" w14:textId="77777777" w:rsidTr="005522FC">
        <w:tc>
          <w:tcPr>
            <w:tcW w:w="9180" w:type="dxa"/>
            <w:shd w:val="pct10" w:color="auto" w:fill="auto"/>
          </w:tcPr>
          <w:p w14:paraId="3AF2AE63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</w:t>
            </w:r>
            <w:r w:rsidR="00B9724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dokonuje takiego zastrzeżenia zgodnie z art.</w:t>
            </w:r>
            <w:r w:rsidR="000A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60 i art.121 ustawy Pzp</w:t>
            </w:r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5329B90B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02ACC985" w14:textId="77777777" w:rsidR="00C577A7" w:rsidRPr="007C63C8" w:rsidRDefault="001357A0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</w:t>
      </w:r>
      <w:r w:rsidR="000A2719">
        <w:t>dostaw</w:t>
      </w:r>
      <w:r w:rsidR="00B7170D" w:rsidRPr="007C63C8">
        <w:t xml:space="preserve">. </w:t>
      </w:r>
    </w:p>
    <w:p w14:paraId="39BBA3B9" w14:textId="77777777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</w:t>
      </w:r>
      <w:r w:rsidR="000A2719">
        <w:t>dostaw</w:t>
      </w:r>
      <w:r w:rsidRPr="007C63C8">
        <w:t xml:space="preserve">. </w:t>
      </w:r>
    </w:p>
    <w:p w14:paraId="6E84B0B8" w14:textId="77777777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737C82BE" w14:textId="77777777" w:rsidR="00B7170D" w:rsidRPr="004E13F4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lastRenderedPageBreak/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6520BA">
        <w:rPr>
          <w:b/>
        </w:rPr>
        <w:t>4</w:t>
      </w:r>
      <w:r w:rsidR="00EF7487" w:rsidRPr="004E13F4">
        <w:rPr>
          <w:b/>
        </w:rPr>
        <w:t xml:space="preserve"> do SWZ</w:t>
      </w:r>
      <w:r w:rsidR="00EF7487" w:rsidRPr="004E13F4">
        <w:t>.</w:t>
      </w:r>
    </w:p>
    <w:p w14:paraId="0AB0B5A1" w14:textId="77777777" w:rsidR="007F6F5A" w:rsidRPr="007C63C8" w:rsidRDefault="007F6F5A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383485AE" w14:textId="77777777" w:rsidR="00B86CDE" w:rsidRPr="007C63C8" w:rsidRDefault="00644D39" w:rsidP="00D2404C">
      <w:pPr>
        <w:pStyle w:val="Tekstpodstawowy"/>
        <w:numPr>
          <w:ilvl w:val="0"/>
          <w:numId w:val="9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51F933C9" w14:textId="77777777" w:rsidR="00DB53F1" w:rsidRPr="00B97243" w:rsidRDefault="00644D39" w:rsidP="00D2404C">
      <w:pPr>
        <w:pStyle w:val="Tekstpodstawowy"/>
        <w:numPr>
          <w:ilvl w:val="0"/>
          <w:numId w:val="9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6520BA">
        <w:rPr>
          <w:b/>
        </w:rPr>
        <w:t>6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60447C1C" w14:textId="77777777" w:rsidR="00B97243" w:rsidRPr="0081058F" w:rsidRDefault="00B97243" w:rsidP="00B97243">
      <w:pPr>
        <w:pStyle w:val="Tekstpodstawowy"/>
        <w:tabs>
          <w:tab w:val="left" w:pos="709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2565AE14" w14:textId="77777777" w:rsidTr="005522FC">
        <w:tc>
          <w:tcPr>
            <w:tcW w:w="9180" w:type="dxa"/>
            <w:shd w:val="pct10" w:color="auto" w:fill="auto"/>
          </w:tcPr>
          <w:p w14:paraId="3E5A330F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F61E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214 ust.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</w:t>
            </w:r>
            <w:r w:rsidR="002D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8D3F0C2" w14:textId="77777777" w:rsidR="00F06046" w:rsidRDefault="00F06046" w:rsidP="00473D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C824DC" w14:textId="77777777" w:rsidR="00774654" w:rsidRPr="007C63C8" w:rsidRDefault="00774654" w:rsidP="00473D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73DF8">
        <w:rPr>
          <w:rFonts w:ascii="Times New Roman" w:hAnsi="Times New Roman" w:cs="Times New Roman"/>
          <w:sz w:val="24"/>
          <w:szCs w:val="24"/>
        </w:rPr>
        <w:t>nie dopuszcza możliwości udzielenia zamówień, o któr</w:t>
      </w:r>
      <w:r w:rsidR="00F61E22">
        <w:rPr>
          <w:rFonts w:ascii="Times New Roman" w:hAnsi="Times New Roman" w:cs="Times New Roman"/>
          <w:sz w:val="24"/>
          <w:szCs w:val="24"/>
        </w:rPr>
        <w:t>ych mowa w art. 214 ust. 1 pkt.</w:t>
      </w:r>
      <w:r w:rsidR="002D2E7E">
        <w:rPr>
          <w:rFonts w:ascii="Times New Roman" w:hAnsi="Times New Roman" w:cs="Times New Roman"/>
          <w:sz w:val="24"/>
          <w:szCs w:val="24"/>
        </w:rPr>
        <w:t xml:space="preserve"> </w:t>
      </w:r>
      <w:r w:rsidR="00473DF8"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6DA4BD01" w14:textId="77777777" w:rsidTr="005522FC">
        <w:tc>
          <w:tcPr>
            <w:tcW w:w="9180" w:type="dxa"/>
            <w:shd w:val="pct10" w:color="auto" w:fill="auto"/>
          </w:tcPr>
          <w:p w14:paraId="6A3AD25A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63F3C84C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7EC0B" w14:textId="77777777" w:rsidR="00284E3F" w:rsidRDefault="00284E3F" w:rsidP="00284E3F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84E3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53857">
        <w:rPr>
          <w:rFonts w:ascii="Times New Roman" w:hAnsi="Times New Roman" w:cs="Times New Roman"/>
          <w:sz w:val="24"/>
          <w:szCs w:val="24"/>
        </w:rPr>
        <w:t xml:space="preserve">nie </w:t>
      </w:r>
      <w:r w:rsidRPr="00284E3F">
        <w:rPr>
          <w:rFonts w:ascii="Times New Roman" w:hAnsi="Times New Roman" w:cs="Times New Roman"/>
          <w:sz w:val="24"/>
          <w:szCs w:val="24"/>
        </w:rPr>
        <w:t>dopuszcza składani</w:t>
      </w:r>
      <w:r w:rsidR="00F53857">
        <w:rPr>
          <w:rFonts w:ascii="Times New Roman" w:hAnsi="Times New Roman" w:cs="Times New Roman"/>
          <w:sz w:val="24"/>
          <w:szCs w:val="24"/>
        </w:rPr>
        <w:t>a</w:t>
      </w:r>
      <w:r w:rsidRPr="00284E3F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F53857">
        <w:rPr>
          <w:rFonts w:ascii="Times New Roman" w:hAnsi="Times New Roman" w:cs="Times New Roman"/>
          <w:sz w:val="24"/>
          <w:szCs w:val="24"/>
        </w:rPr>
        <w:t>.</w:t>
      </w:r>
    </w:p>
    <w:p w14:paraId="3A073312" w14:textId="77777777" w:rsidR="00F53857" w:rsidRDefault="00F53857" w:rsidP="00284E3F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Powody niedokonania podziału zamówienia na części:</w:t>
      </w:r>
    </w:p>
    <w:p w14:paraId="413F018C" w14:textId="77777777" w:rsidR="00F53857" w:rsidRPr="00F53857" w:rsidRDefault="00F53857" w:rsidP="00F53857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zamówienia na części mógłby spowodować trudności w wymaganiach gwarancyjnych. Zasadnym jest aby jeden Wykonawca udzielił gwarancji na przedmiot zamówienia. Z</w:t>
      </w:r>
      <w:r w:rsidRPr="002879E7">
        <w:rPr>
          <w:rFonts w:ascii="Times New Roman" w:hAnsi="Times New Roman" w:cs="Times New Roman"/>
          <w:sz w:val="24"/>
          <w:szCs w:val="24"/>
        </w:rPr>
        <w:t>amówienie nie ogranicza udziału w nim małych i średnich przedsiębiorstw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F53857">
        <w:rPr>
          <w:rFonts w:ascii="Times New Roman" w:hAnsi="Times New Roman" w:cs="Times New Roman"/>
          <w:sz w:val="24"/>
          <w:szCs w:val="24"/>
        </w:rPr>
        <w:t>otrzeba skoordynowania działań różnych Wykonawców realizujących poszczególne części zamówienia mogłaby poważnie zagrozić właściwemu wykonaniu zamówienia.</w:t>
      </w:r>
      <w:r w:rsidR="00F06046">
        <w:rPr>
          <w:rFonts w:ascii="Times New Roman" w:hAnsi="Times New Roman" w:cs="Times New Roman"/>
          <w:sz w:val="24"/>
          <w:szCs w:val="24"/>
        </w:rPr>
        <w:t xml:space="preserve"> Przedmiot zamówienia jest niepodzielny.</w:t>
      </w:r>
    </w:p>
    <w:p w14:paraId="292B20B1" w14:textId="7777777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1EF0E" w14:textId="7777777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</w:t>
      </w:r>
      <w:r w:rsidR="006B6B9E">
        <w:rPr>
          <w:rFonts w:ascii="Times New Roman" w:hAnsi="Times New Roman" w:cs="Times New Roman"/>
          <w:sz w:val="24"/>
          <w:szCs w:val="24"/>
        </w:rPr>
        <w:t xml:space="preserve"> </w:t>
      </w:r>
      <w:r w:rsidR="00EB6C5E" w:rsidRPr="007C63C8">
        <w:rPr>
          <w:rFonts w:ascii="Times New Roman" w:hAnsi="Times New Roman" w:cs="Times New Roman"/>
          <w:sz w:val="24"/>
          <w:szCs w:val="24"/>
        </w:rPr>
        <w:t>96 ust.2 pkt 2 ustawy Pzp</w:t>
      </w:r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578CD43C" w14:textId="77777777" w:rsidR="00EB6C5E" w:rsidRPr="007C63C8" w:rsidRDefault="00EB6C5E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</w:t>
      </w:r>
      <w:r w:rsidR="0077265E">
        <w:rPr>
          <w:rFonts w:ascii="Times New Roman" w:hAnsi="Times New Roman" w:cs="Times New Roman"/>
          <w:sz w:val="24"/>
          <w:szCs w:val="24"/>
        </w:rPr>
        <w:t xml:space="preserve"> </w:t>
      </w:r>
      <w:r w:rsidR="0036659C">
        <w:rPr>
          <w:rFonts w:ascii="Times New Roman" w:hAnsi="Times New Roman" w:cs="Times New Roman"/>
          <w:sz w:val="24"/>
          <w:szCs w:val="24"/>
        </w:rPr>
        <w:t>94</w:t>
      </w:r>
      <w:r w:rsidR="0077265E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50B6EE38" w14:textId="77777777" w:rsidR="00DB53F1" w:rsidRPr="007C63C8" w:rsidRDefault="00DB53F1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4DDADD1" w14:textId="77777777" w:rsidR="00DB53F1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1761EBBE" w14:textId="77777777" w:rsidR="00433390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229D9012" w14:textId="77777777" w:rsidR="00433390" w:rsidRPr="007C63C8" w:rsidRDefault="005A3E19" w:rsidP="00F53857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11ACD749" w14:textId="77777777" w:rsidR="0060180D" w:rsidRDefault="00A468F8" w:rsidP="00D2404C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2ECBCFB5" w14:textId="77777777" w:rsidR="00CD7137" w:rsidRPr="0060180D" w:rsidRDefault="00CD7137" w:rsidP="00D2404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5BEC1178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2D060BCD" w14:textId="77777777" w:rsidTr="005522FC">
        <w:tc>
          <w:tcPr>
            <w:tcW w:w="9180" w:type="dxa"/>
            <w:shd w:val="pct10" w:color="auto" w:fill="auto"/>
          </w:tcPr>
          <w:p w14:paraId="0A6703B6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5BFF712B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55336" w14:textId="77777777" w:rsidR="00356253" w:rsidRPr="00356253" w:rsidRDefault="00B870ED" w:rsidP="00D2404C">
      <w:pPr>
        <w:numPr>
          <w:ilvl w:val="1"/>
          <w:numId w:val="39"/>
        </w:numPr>
        <w:tabs>
          <w:tab w:val="clear" w:pos="1440"/>
          <w:tab w:val="num" w:pos="709"/>
        </w:tabs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64197" w14:textId="77777777" w:rsidR="00356253" w:rsidRPr="00FC3F42" w:rsidRDefault="0054263F" w:rsidP="00356253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miesięcy</w:t>
      </w:r>
      <w:r w:rsidR="00EE24BD">
        <w:rPr>
          <w:rFonts w:ascii="Times New Roman" w:hAnsi="Times New Roman" w:cs="Times New Roman"/>
          <w:b/>
          <w:bCs/>
          <w:sz w:val="24"/>
          <w:szCs w:val="24"/>
        </w:rPr>
        <w:t xml:space="preserve"> od podpisania umowy, nie wcześniej niż 0</w:t>
      </w:r>
      <w:r w:rsidR="00F61E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24BD">
        <w:rPr>
          <w:rFonts w:ascii="Times New Roman" w:hAnsi="Times New Roman" w:cs="Times New Roman"/>
          <w:b/>
          <w:bCs/>
          <w:sz w:val="24"/>
          <w:szCs w:val="24"/>
        </w:rPr>
        <w:t>.01.2024 r.</w:t>
      </w:r>
    </w:p>
    <w:p w14:paraId="49BF2B2D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78B0FD12" w14:textId="77777777" w:rsidTr="005522FC">
        <w:tc>
          <w:tcPr>
            <w:tcW w:w="9180" w:type="dxa"/>
            <w:shd w:val="pct10" w:color="auto" w:fill="auto"/>
          </w:tcPr>
          <w:p w14:paraId="45E837C9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38E9A0B0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6513B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542747B5" w14:textId="77777777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6520BA">
        <w:rPr>
          <w:rFonts w:ascii="Times New Roman" w:hAnsi="Times New Roman" w:cs="Times New Roman"/>
          <w:b/>
          <w:sz w:val="24"/>
          <w:szCs w:val="24"/>
        </w:rPr>
        <w:t>6</w:t>
      </w:r>
      <w:r w:rsidR="006B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9C">
        <w:rPr>
          <w:rFonts w:ascii="Times New Roman" w:hAnsi="Times New Roman" w:cs="Times New Roman"/>
          <w:b/>
          <w:sz w:val="24"/>
          <w:szCs w:val="24"/>
        </w:rPr>
        <w:t>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6CD97" w14:textId="77777777" w:rsidR="006B6B9E" w:rsidRDefault="006B6B9E" w:rsidP="006520BA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6622C319" w14:textId="77777777" w:rsidTr="005522FC">
        <w:tc>
          <w:tcPr>
            <w:tcW w:w="9180" w:type="dxa"/>
            <w:shd w:val="pct10" w:color="auto" w:fill="auto"/>
          </w:tcPr>
          <w:p w14:paraId="7439BD5E" w14:textId="77777777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5EA381E7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1BB635E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CDFEEEE" w14:textId="77777777" w:rsidR="00510879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  <w:r w:rsidR="00D539B4" w:rsidRPr="00D5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DFBE0" w14:textId="77777777" w:rsidR="005972CA" w:rsidRPr="00D539B4" w:rsidRDefault="00D539B4" w:rsidP="003E0B55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39B4">
        <w:rPr>
          <w:rFonts w:ascii="Times New Roman" w:hAnsi="Times New Roman" w:cs="Times New Roman"/>
          <w:sz w:val="24"/>
          <w:szCs w:val="24"/>
        </w:rPr>
        <w:t xml:space="preserve">Komunikacja ustna dopuszczalna jest w odniesieniu do informacji, które nie są istotne, w szczególności nie dotyczą ogłoszenia o zamówieniu lub dokumentów zamówienia, potwierdzenia zainteresowania, ofert, a ich treść będzie udokumentowana. </w:t>
      </w:r>
    </w:p>
    <w:p w14:paraId="70148AED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5F229C09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Pzp, podmiotowe środki dowodowe,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</w:t>
      </w:r>
      <w:r w:rsidRPr="00BB3D75">
        <w:rPr>
          <w:rFonts w:ascii="Times New Roman" w:hAnsi="Times New Roman" w:cs="Times New Roman"/>
          <w:sz w:val="24"/>
          <w:szCs w:val="24"/>
        </w:rPr>
        <w:lastRenderedPageBreak/>
        <w:t>realizujących zadania publiczne z zastrzeżeniem formatów, o których mowa w art. 66 ust.1 ustawy Pzp,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8DB83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</w:t>
      </w:r>
      <w:r w:rsidR="00F40B89" w:rsidRPr="00F40B8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F40B89">
        <w:rPr>
          <w:rFonts w:ascii="Times New Roman" w:hAnsi="Times New Roman" w:cs="Times New Roman"/>
          <w:sz w:val="24"/>
          <w:szCs w:val="24"/>
          <w:highlight w:val="yellow"/>
        </w:rPr>
        <w:t>),</w:t>
      </w:r>
      <w:r w:rsidRPr="00DA6577">
        <w:rPr>
          <w:rFonts w:ascii="Times New Roman" w:hAnsi="Times New Roman" w:cs="Times New Roman"/>
          <w:sz w:val="24"/>
          <w:szCs w:val="24"/>
        </w:rPr>
        <w:t xml:space="preserve"> przekazywane w postępowaniu sporządza się w postaci elektronicznej w formatach j.w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A0D0E" w14:textId="77777777" w:rsidR="005972CA" w:rsidRPr="008546FB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38B1C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2C6D6A" w14:textId="77777777" w:rsidR="005972CA" w:rsidRPr="003000E7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Podwykonawcy,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E56D8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</w:t>
      </w:r>
      <w:r w:rsidR="00D539B4">
        <w:rPr>
          <w:rFonts w:ascii="Times New Roman" w:hAnsi="Times New Roman" w:cs="Times New Roman"/>
          <w:sz w:val="24"/>
          <w:szCs w:val="24"/>
        </w:rPr>
        <w:t>7</w:t>
      </w:r>
      <w:r w:rsidRPr="008A6D2E">
        <w:rPr>
          <w:rFonts w:ascii="Times New Roman" w:hAnsi="Times New Roman" w:cs="Times New Roman"/>
          <w:sz w:val="24"/>
          <w:szCs w:val="24"/>
        </w:rPr>
        <w:t>) dokumenty zostały wystawione przez „upoważnione podmioty” jako dokument w postaci papierowej, przekazuje się cyfrowe odwzorowanie tego dokumentu opatrzone kwalifikowanym podpisem elektroniczny</w:t>
      </w:r>
      <w:r w:rsidR="0077265E">
        <w:rPr>
          <w:rFonts w:ascii="Times New Roman" w:hAnsi="Times New Roman" w:cs="Times New Roman"/>
          <w:sz w:val="24"/>
          <w:szCs w:val="24"/>
        </w:rPr>
        <w:t>m</w:t>
      </w:r>
      <w:r w:rsidRPr="008A6D2E">
        <w:rPr>
          <w:rFonts w:ascii="Times New Roman" w:hAnsi="Times New Roman" w:cs="Times New Roman"/>
          <w:sz w:val="24"/>
          <w:szCs w:val="24"/>
        </w:rPr>
        <w:t>, podpisem zaufanym lub podpisem osobistym, poświadczające zgodność cyfrowego odwzorowania z dokumentem w postaci papierowej.</w:t>
      </w:r>
    </w:p>
    <w:p w14:paraId="1206866C" w14:textId="77777777" w:rsidR="005972CA" w:rsidRPr="00807CDC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 dokumentów opisanych w punkcie </w:t>
      </w:r>
      <w:r w:rsidR="00D539B4">
        <w:rPr>
          <w:rFonts w:ascii="Times New Roman" w:hAnsi="Times New Roman" w:cs="Times New Roman"/>
          <w:sz w:val="24"/>
          <w:szCs w:val="24"/>
        </w:rPr>
        <w:t>8</w:t>
      </w:r>
      <w:r w:rsidRPr="00807CDC">
        <w:rPr>
          <w:rFonts w:ascii="Times New Roman" w:hAnsi="Times New Roman" w:cs="Times New Roman"/>
          <w:sz w:val="24"/>
          <w:szCs w:val="24"/>
        </w:rPr>
        <w:t>) dokonuje w przypadku:</w:t>
      </w:r>
    </w:p>
    <w:p w14:paraId="1F5F8A91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53B265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38EF9EBD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98E87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Przez cyfrowe odwzorowanie, należy rozumieć dokument elektroniczny będący kopią elektroniczną treści zapisanej w postaci papierowej, umożliwiający </w:t>
      </w:r>
      <w:r w:rsidRPr="00175ADE">
        <w:rPr>
          <w:rFonts w:ascii="Times New Roman" w:hAnsi="Times New Roman" w:cs="Times New Roman"/>
          <w:sz w:val="24"/>
          <w:szCs w:val="24"/>
        </w:rPr>
        <w:lastRenderedPageBreak/>
        <w:t>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CDB107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Podmiotowe środki dowodowe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D272A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W przypadku gdy opisane w punkcie 1</w:t>
      </w:r>
      <w:r w:rsidR="00D539B4">
        <w:rPr>
          <w:rFonts w:ascii="Times New Roman" w:hAnsi="Times New Roman" w:cs="Times New Roman"/>
          <w:sz w:val="24"/>
          <w:szCs w:val="24"/>
        </w:rPr>
        <w:t>0</w:t>
      </w:r>
      <w:r w:rsidRPr="00175ADE">
        <w:rPr>
          <w:rFonts w:ascii="Times New Roman" w:hAnsi="Times New Roman" w:cs="Times New Roman"/>
          <w:sz w:val="24"/>
          <w:szCs w:val="24"/>
        </w:rPr>
        <w:t xml:space="preserve">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47D5B" w14:textId="77777777" w:rsidR="005972CA" w:rsidRPr="00175ADE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</w:t>
      </w:r>
      <w:r w:rsidR="00D539B4">
        <w:rPr>
          <w:rFonts w:ascii="Times New Roman" w:hAnsi="Times New Roman" w:cs="Times New Roman"/>
          <w:sz w:val="24"/>
          <w:szCs w:val="24"/>
        </w:rPr>
        <w:t>1</w:t>
      </w:r>
      <w:r w:rsidRPr="00175ADE">
        <w:rPr>
          <w:rFonts w:ascii="Times New Roman" w:hAnsi="Times New Roman" w:cs="Times New Roman"/>
          <w:sz w:val="24"/>
          <w:szCs w:val="24"/>
        </w:rPr>
        <w:t>) dokonuje w przypadku;</w:t>
      </w:r>
    </w:p>
    <w:p w14:paraId="6069D2B7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C59B55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75E4F872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6C1C352F" w14:textId="77777777" w:rsidR="005972CA" w:rsidRPr="007C63C8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12B03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64BCAF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44B61409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Nexus Sp z o.o. </w:t>
      </w:r>
    </w:p>
    <w:p w14:paraId="182B80DA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7FAEE08" w14:textId="77777777" w:rsidR="005972CA" w:rsidRPr="007C63C8" w:rsidRDefault="00000000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508A83A5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Nexus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6CE92981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47EA2E87" w14:textId="77777777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Nexus Sp z o.o.         z siedzibą w Poznaniu nieodpłatnych usług dla Konta Użytkownika drogą </w:t>
      </w:r>
      <w:r w:rsidRPr="00985BF1">
        <w:rPr>
          <w:rFonts w:ascii="Times New Roman" w:hAnsi="Times New Roman" w:cs="Times New Roman"/>
          <w:sz w:val="24"/>
          <w:szCs w:val="24"/>
        </w:rPr>
        <w:lastRenderedPageBreak/>
        <w:t>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7E07C3D6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0AF0DDEF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557ED099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7D154EF3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3582CA85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02F19" w14:textId="77777777" w:rsidR="00113C34" w:rsidRDefault="00113C34" w:rsidP="00113C3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D3BC9AC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19B47B11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BE1FBC4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678457B5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5B259BDC" w14:textId="77777777" w:rsidR="005972CA" w:rsidRPr="001C107A" w:rsidRDefault="005972CA" w:rsidP="00D2404C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CD93058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stały dostęp do sieci Internet o gwarantowanej przepustowości nie mniejszej niż 512 kb/s,</w:t>
      </w:r>
    </w:p>
    <w:p w14:paraId="43208F9D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5332463D" w14:textId="77777777" w:rsidR="005972CA" w:rsidRPr="0096712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ABD6195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5E557FA6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zainstalowany program Adobe Acrobat Reader lub inny obsługujący format plików .pdf,</w:t>
      </w:r>
    </w:p>
    <w:p w14:paraId="110EDA13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01D0CB6B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2188A68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42829D03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E55C8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lastRenderedPageBreak/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31BD9D65" w14:textId="77777777" w:rsidR="005972CA" w:rsidRPr="007C63C8" w:rsidRDefault="005972CA" w:rsidP="00D2404C">
      <w:pPr>
        <w:numPr>
          <w:ilvl w:val="0"/>
          <w:numId w:val="13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rekomenduje wykorzystanie formatów: .pdf .doc .xls .jpg (.jpeg)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524BE6F5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44E838D8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.rar .gif .bmp .numbers .pages.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1BD98944" w14:textId="77777777" w:rsidR="005972CA" w:rsidRPr="00F61E22" w:rsidRDefault="005972CA" w:rsidP="00F61E22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zwraca uwagę na ograniczenia wielkości plików podpisywanych profilem zaufanym, który wynosi max 10MB, oraz na ograniczenie wielkości plików podpisywanych w aplikacji eDoApp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373C488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liki w innych formatach niż PDF zaleca się opatrzyć zewnętrznym podpisem XAdES.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0B474C2F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9425215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053D383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aby 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składającą ofertę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7AE600EF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64BEC171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050FE632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DFEACF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3E3F0874" w14:textId="77777777" w:rsidR="005972CA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33419DE" w14:textId="77777777" w:rsidR="00A32E45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007844B6" w14:textId="77777777" w:rsidTr="005522FC">
        <w:tc>
          <w:tcPr>
            <w:tcW w:w="9180" w:type="dxa"/>
            <w:shd w:val="pct10" w:color="auto" w:fill="auto"/>
          </w:tcPr>
          <w:p w14:paraId="50D11750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20F0BC2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6E18CD" w14:textId="77777777" w:rsidR="00513D11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70BA5B81" w14:textId="77777777" w:rsidR="00B97243" w:rsidRPr="007C63C8" w:rsidRDefault="00B97243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3EC753AE" w14:textId="77777777" w:rsidTr="005522FC">
        <w:tc>
          <w:tcPr>
            <w:tcW w:w="9180" w:type="dxa"/>
            <w:shd w:val="pct10" w:color="auto" w:fill="auto"/>
          </w:tcPr>
          <w:p w14:paraId="38556318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FE20A61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53914" w14:textId="77777777" w:rsidR="00EE24BD" w:rsidRPr="001F03DE" w:rsidRDefault="00EE24BD" w:rsidP="00EE24BD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1F03DE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</w:t>
      </w:r>
      <w:r w:rsidR="00943617">
        <w:rPr>
          <w:rFonts w:ascii="Times New Roman" w:hAnsi="Times New Roman" w:cs="Times New Roman"/>
          <w:sz w:val="24"/>
          <w:szCs w:val="24"/>
        </w:rPr>
        <w:t>W</w:t>
      </w:r>
      <w:r w:rsidRPr="001F03DE">
        <w:rPr>
          <w:rFonts w:ascii="Times New Roman" w:hAnsi="Times New Roman" w:cs="Times New Roman"/>
          <w:sz w:val="24"/>
          <w:szCs w:val="24"/>
        </w:rPr>
        <w:t>ykonawcami:</w:t>
      </w:r>
    </w:p>
    <w:p w14:paraId="4C5B8843" w14:textId="77777777" w:rsidR="00EE24BD" w:rsidRPr="001F03DE" w:rsidRDefault="00943617" w:rsidP="00EE24BD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4BD">
        <w:rPr>
          <w:rFonts w:ascii="Times New Roman" w:hAnsi="Times New Roman" w:cs="Times New Roman"/>
          <w:sz w:val="24"/>
          <w:szCs w:val="24"/>
        </w:rPr>
        <w:t>Dorota Chojnacka - Szymczak</w:t>
      </w:r>
      <w:r w:rsidR="00EE24BD" w:rsidRPr="001F03DE">
        <w:rPr>
          <w:rFonts w:ascii="Times New Roman" w:hAnsi="Times New Roman" w:cs="Times New Roman"/>
          <w:sz w:val="24"/>
          <w:szCs w:val="24"/>
        </w:rPr>
        <w:t xml:space="preserve"> tel. 67 268 08 </w:t>
      </w:r>
      <w:r w:rsidR="00EE24BD">
        <w:rPr>
          <w:rFonts w:ascii="Times New Roman" w:hAnsi="Times New Roman" w:cs="Times New Roman"/>
          <w:sz w:val="24"/>
          <w:szCs w:val="24"/>
        </w:rPr>
        <w:t>14</w:t>
      </w:r>
    </w:p>
    <w:p w14:paraId="6E873D91" w14:textId="77777777" w:rsidR="00EE24BD" w:rsidRDefault="00943617" w:rsidP="00EE24BD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4BD">
        <w:rPr>
          <w:rFonts w:ascii="Times New Roman" w:hAnsi="Times New Roman" w:cs="Times New Roman"/>
          <w:sz w:val="24"/>
          <w:szCs w:val="24"/>
        </w:rPr>
        <w:t>Jolanta</w:t>
      </w:r>
      <w:r w:rsidR="00EE24BD" w:rsidRPr="007C63C8">
        <w:rPr>
          <w:rFonts w:ascii="Times New Roman" w:hAnsi="Times New Roman" w:cs="Times New Roman"/>
          <w:sz w:val="24"/>
          <w:szCs w:val="24"/>
        </w:rPr>
        <w:t xml:space="preserve"> Maciejewska tel. </w:t>
      </w:r>
      <w:r w:rsidR="00EE24BD">
        <w:rPr>
          <w:rFonts w:ascii="Times New Roman" w:hAnsi="Times New Roman" w:cs="Times New Roman"/>
          <w:sz w:val="24"/>
          <w:szCs w:val="24"/>
        </w:rPr>
        <w:t>787 901 552</w:t>
      </w:r>
    </w:p>
    <w:p w14:paraId="5551CB9A" w14:textId="77777777" w:rsidR="00B51E6A" w:rsidRDefault="00B51E6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212170D5" w14:textId="77777777" w:rsidTr="005522FC">
        <w:tc>
          <w:tcPr>
            <w:tcW w:w="9180" w:type="dxa"/>
            <w:shd w:val="pct10" w:color="auto" w:fill="auto"/>
          </w:tcPr>
          <w:p w14:paraId="3DFCAA63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1AF25F31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A9D09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751FC" w14:textId="77777777" w:rsidR="00AC7C6A" w:rsidRPr="000E1BF7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od </w:t>
      </w:r>
      <w:r w:rsidR="00656324"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4.12</w:t>
      </w:r>
      <w:r w:rsidR="00C21640"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.2023</w:t>
      </w:r>
      <w:r w:rsidR="0065599B"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r</w:t>
      </w:r>
      <w:r w:rsidR="003B29E9"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14:paraId="3C012A15" w14:textId="77777777" w:rsidR="00AC7C6A" w:rsidRPr="000E1BF7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- do dnia </w:t>
      </w:r>
      <w:r w:rsidR="00656324"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4A79A7"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656324"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01</w:t>
      </w:r>
      <w:r w:rsidR="00356253"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.202</w:t>
      </w:r>
      <w:r w:rsidR="00656324"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="004D2824"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0E1B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r.</w:t>
      </w:r>
      <w:r w:rsidR="0000575A" w:rsidRPr="000E1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B832EF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1C86C35B" w14:textId="77777777" w:rsidR="006543F7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79014D4D" w14:textId="77777777" w:rsidR="004A79A7" w:rsidRPr="000E1BF7" w:rsidRDefault="004A79A7" w:rsidP="004A79A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E1BF7">
        <w:rPr>
          <w:rFonts w:ascii="Times New Roman" w:eastAsia="Calibri" w:hAnsi="Times New Roman" w:cs="Times New Roman"/>
          <w:sz w:val="24"/>
          <w:szCs w:val="24"/>
          <w:highlight w:val="yellow"/>
        </w:rPr>
        <w:t>Przedłużenie terminu związania ofertą, o którym mowa w pkt. 1, następuje wraz                                    z przedłużeniem okresu ważności wadium albo, jeśli nie jest to możliwe, wniesieniem nowego wadium na przedłużony okres związania ofertą.</w:t>
      </w:r>
    </w:p>
    <w:p w14:paraId="41FF7B9C" w14:textId="77777777" w:rsidR="004A79A7" w:rsidRDefault="004A79A7" w:rsidP="004A79A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135D43C" w14:textId="77777777" w:rsidR="00356253" w:rsidRPr="007C63C8" w:rsidRDefault="00356253" w:rsidP="00356253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082E22C9" w14:textId="77777777" w:rsidTr="005522FC">
        <w:tc>
          <w:tcPr>
            <w:tcW w:w="9180" w:type="dxa"/>
            <w:shd w:val="pct10" w:color="auto" w:fill="auto"/>
          </w:tcPr>
          <w:p w14:paraId="091BBCFE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6CF93512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F75F701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B919C2E" w14:textId="77777777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0476F6">
        <w:rPr>
          <w:color w:val="000000"/>
        </w:rPr>
        <w:t xml:space="preserve"> </w:t>
      </w:r>
      <w:r w:rsidR="003833AF" w:rsidRPr="0036659C">
        <w:rPr>
          <w:color w:val="000000"/>
        </w:rPr>
        <w:t>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 xml:space="preserve">Do przygotowania oferty zaleca się skorzystać z wzorów (formularza oferty, oświadczeń, wykazów) przygotowanych przez Zamawiającego. Wykonawca może </w:t>
      </w:r>
      <w:r w:rsidR="003B554E" w:rsidRPr="007C63C8">
        <w:rPr>
          <w:color w:val="000000"/>
        </w:rPr>
        <w:lastRenderedPageBreak/>
        <w:t>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7C21811A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2C62ADF8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60B8CFBE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2D06A542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72FEAAC4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  <w:r w:rsidR="00437CE3">
        <w:rPr>
          <w:color w:val="000000"/>
        </w:rPr>
        <w:t xml:space="preserve"> </w:t>
      </w:r>
    </w:p>
    <w:p w14:paraId="2EEA2095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>ormatu podpisu XAdES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XAdES.</w:t>
      </w:r>
    </w:p>
    <w:p w14:paraId="66F0C5E0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Pzp,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3DE402B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6F49B066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79012B8B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lastRenderedPageBreak/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3CF06251" w14:textId="77777777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r w:rsidR="00A426DA">
        <w:rPr>
          <w:color w:val="000000"/>
        </w:rPr>
        <w:t>mikroprzedsiębiorcą</w:t>
      </w:r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>o przedsiębiorców</w:t>
      </w:r>
      <w:r w:rsidRPr="008D7C4C">
        <w:rPr>
          <w:color w:val="000000"/>
        </w:rPr>
        <w:t>:</w:t>
      </w:r>
    </w:p>
    <w:p w14:paraId="6CF889C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11207E">
        <w:rPr>
          <w:b/>
          <w:color w:val="000000"/>
        </w:rPr>
        <w:t>mikroprzedsiębiorca</w:t>
      </w:r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15CA74A8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12EA1119" w14:textId="77777777" w:rsidR="00D8272A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</w:p>
    <w:p w14:paraId="389EAB2C" w14:textId="77777777" w:rsidR="000476F6" w:rsidRDefault="000476F6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017F8435" w14:textId="77777777" w:rsidTr="005522FC">
        <w:tc>
          <w:tcPr>
            <w:tcW w:w="9180" w:type="dxa"/>
            <w:shd w:val="pct10" w:color="auto" w:fill="auto"/>
          </w:tcPr>
          <w:p w14:paraId="3A198E94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13FFA0D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C981A4" w14:textId="77777777" w:rsidR="00A92250" w:rsidRPr="0065632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EE24BD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4.1</w:t>
      </w:r>
      <w:r w:rsid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2</w:t>
      </w:r>
      <w:r w:rsidR="00C21640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.2023</w:t>
      </w:r>
      <w:r w:rsidR="001C2659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 xml:space="preserve"> r</w:t>
      </w:r>
      <w:r w:rsidR="0062281C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.</w:t>
      </w:r>
      <w:r w:rsidR="00D349C4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 xml:space="preserve"> do godz.</w:t>
      </w:r>
      <w:r w:rsidR="00961FCD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 xml:space="preserve"> </w:t>
      </w:r>
      <w:r w:rsidR="00D349C4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9.0</w:t>
      </w:r>
      <w:r w:rsidR="00D349C4" w:rsidRPr="00656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0</w:t>
      </w:r>
      <w:r w:rsidR="00D349C4" w:rsidRPr="0065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D7F3E64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75896156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3268065F" w14:textId="77777777" w:rsid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4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C9342A" w14:textId="77777777" w:rsidR="00A92250" w:rsidRP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50E31E4D" w14:textId="77777777" w:rsidR="00A92250" w:rsidRPr="00092276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="00092276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340E5128" w14:textId="77777777" w:rsidR="00123A26" w:rsidRPr="007C63C8" w:rsidRDefault="00123A26" w:rsidP="00123A26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1AAF9A79" w14:textId="77777777" w:rsidTr="005522FC">
        <w:tc>
          <w:tcPr>
            <w:tcW w:w="9180" w:type="dxa"/>
            <w:shd w:val="pct10" w:color="auto" w:fill="auto"/>
          </w:tcPr>
          <w:p w14:paraId="244C3590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DC5E088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43B3AD" w14:textId="77777777" w:rsidR="003806C1" w:rsidRPr="00E03A30" w:rsidRDefault="00CA42EB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EE24BD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4.1</w:t>
      </w:r>
      <w:r w:rsid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2</w:t>
      </w:r>
      <w:r w:rsidR="00C21640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.2023</w:t>
      </w:r>
      <w:r w:rsidR="001C2659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 xml:space="preserve"> r</w:t>
      </w:r>
      <w:r w:rsidR="002D33AB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. godz.</w:t>
      </w:r>
      <w:r w:rsidR="00961FCD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 xml:space="preserve"> </w:t>
      </w:r>
      <w:r w:rsidR="002D33AB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9.1</w:t>
      </w:r>
      <w:r w:rsidR="00E2456E" w:rsidRPr="006563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5</w:t>
      </w:r>
      <w:r w:rsidR="008B57DE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</w:t>
      </w:r>
      <w:r w:rsidR="000B3C45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6659C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F50A766" w14:textId="77777777" w:rsidR="00E4334A" w:rsidRPr="00E03A30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1432CCB3" w14:textId="77777777" w:rsidR="00E4334A" w:rsidRPr="00E03A30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7BE39DEE" w14:textId="77777777" w:rsidR="00E4334A" w:rsidRPr="00E03A30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662EA86C" w14:textId="77777777" w:rsidR="00E4334A" w:rsidRPr="00E03A30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270025E8" w14:textId="77777777" w:rsidR="00E4334A" w:rsidRPr="00E03A30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BBAF39F" w14:textId="77777777" w:rsidR="003E2BFF" w:rsidRPr="00E03A30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5E20F965" w14:textId="77777777" w:rsidR="00FF1F5F" w:rsidRPr="00E03A30" w:rsidRDefault="003E2BFF" w:rsidP="000476F6">
      <w:pPr>
        <w:pStyle w:val="Akapitzlist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E03A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320C8157" w14:textId="77777777" w:rsidR="0054263F" w:rsidRPr="000476F6" w:rsidRDefault="0054263F" w:rsidP="0054263F">
      <w:pPr>
        <w:pStyle w:val="Akapitzlist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11EC5F97" w14:textId="77777777" w:rsidTr="005522FC">
        <w:tc>
          <w:tcPr>
            <w:tcW w:w="9180" w:type="dxa"/>
            <w:shd w:val="pct10" w:color="auto" w:fill="auto"/>
          </w:tcPr>
          <w:p w14:paraId="24CAC4CB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Podstawy wykluczenia, o których mowa w art.108 ust.1 ustawy Pzp</w:t>
            </w:r>
          </w:p>
        </w:tc>
      </w:tr>
    </w:tbl>
    <w:p w14:paraId="341BCE0B" w14:textId="77777777" w:rsidR="001C2659" w:rsidRPr="001C2659" w:rsidRDefault="001C2659" w:rsidP="001C26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BC3997" w14:textId="77777777" w:rsidR="007668DE" w:rsidRPr="00E03A30" w:rsidRDefault="007668DE" w:rsidP="00E03A30">
      <w:pPr>
        <w:numPr>
          <w:ilvl w:val="0"/>
          <w:numId w:val="16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34FA152C" w14:textId="77777777" w:rsidR="007668DE" w:rsidRPr="00E03A30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790AFF1D" w14:textId="77777777" w:rsidR="007668DE" w:rsidRPr="00E03A30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35E9FC56" w14:textId="77777777" w:rsidR="007668DE" w:rsidRPr="00E03A30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</w:t>
      </w:r>
    </w:p>
    <w:p w14:paraId="6C82525F" w14:textId="77777777" w:rsidR="007668DE" w:rsidRPr="00E03A30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1" w:anchor="/document/16798683?unitId=art(228)&amp;cm=DOCUMENT" w:history="1">
        <w:r w:rsidRPr="00E03A3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228-230a</w:t>
        </w:r>
      </w:hyperlink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2" w:anchor="/document/17631344?unitId=art(250(a))&amp;cm=DOCUMENT" w:history="1">
        <w:r w:rsidRPr="00E03A3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250a</w:t>
        </w:r>
      </w:hyperlink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3" w:anchor="/document/17631344?unitId=art(46)&amp;cm=DOCUMENT" w:history="1">
        <w:r w:rsidRPr="00E03A3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46-48</w:t>
        </w:r>
      </w:hyperlink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E03A3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54 ust. 1-4</w:t>
        </w:r>
      </w:hyperlink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</w:t>
      </w:r>
      <w:r w:rsid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 leków, środków spożywczych specjalnego przeznaczenia żywieniowego oraz wyrobów medycznych (Dz. U. z 2021 r. poz. 523, 1292, 1559 i 2054),</w:t>
      </w:r>
    </w:p>
    <w:p w14:paraId="5E9EEC43" w14:textId="77777777" w:rsidR="007668DE" w:rsidRPr="00E03A30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11DAB9F5" w14:textId="77777777" w:rsidR="007668DE" w:rsidRPr="007668DE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0F1CA9E6" w14:textId="77777777" w:rsidR="007668DE" w:rsidRPr="007668DE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59AE9161" w14:textId="77777777" w:rsidR="007668DE" w:rsidRPr="007668DE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190C1241" w14:textId="77777777" w:rsidR="007668DE" w:rsidRPr="007668DE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F24FD2F" w14:textId="77777777" w:rsidR="007668DE" w:rsidRPr="007668DE" w:rsidRDefault="007668DE" w:rsidP="00E03A30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4911EF68" w14:textId="77777777" w:rsidR="007668DE" w:rsidRPr="007668DE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501A4205" w14:textId="77777777" w:rsidR="007668DE" w:rsidRPr="007668DE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A63A079" w14:textId="77777777" w:rsidR="007668DE" w:rsidRPr="007668DE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prawomocnie orzeczono zakaz ubiegania się o zamówienie publiczne;</w:t>
      </w:r>
    </w:p>
    <w:p w14:paraId="7B0FEF96" w14:textId="77777777" w:rsidR="007668DE" w:rsidRPr="007668DE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2D673F16" w14:textId="77777777" w:rsidR="007668DE" w:rsidRPr="007668DE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ust.1 ustawy Pzp doszło do zakłócenia konkurencji wynikającego z wcześniejszego zaangażowania tego wykonawcy lub podmiotu, który należy z Wykonawcą do tej samej grupy kapitałowej w rozumieniu ustawy z dnia 16 lutego 2007r. o ochronie konkurencji 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konsumentów, chyba że spowodowane tym zakłócenie konkurencji może być wyeliminowane w inny sposób niż przez wykluczenie Wykonawcy z udziału w postępowaniu o udzielenie zamówienia.</w:t>
      </w:r>
    </w:p>
    <w:p w14:paraId="6CEBF08D" w14:textId="77777777" w:rsidR="007668DE" w:rsidRPr="007668DE" w:rsidRDefault="007668DE" w:rsidP="00E03A30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32784EF4" w14:textId="77777777" w:rsidR="007668DE" w:rsidRPr="007668DE" w:rsidRDefault="007668DE" w:rsidP="00E03A30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4C79B8B0" w14:textId="77777777" w:rsidR="007668DE" w:rsidRPr="007668DE" w:rsidRDefault="007668DE" w:rsidP="00E03A30">
      <w:pPr>
        <w:numPr>
          <w:ilvl w:val="0"/>
          <w:numId w:val="17"/>
        </w:numPr>
        <w:autoSpaceDE w:val="0"/>
        <w:autoSpaceDN w:val="0"/>
        <w:adjustRightInd w:val="0"/>
        <w:spacing w:after="22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74AF0DCD" w14:textId="77777777" w:rsidR="007668DE" w:rsidRPr="007668DE" w:rsidRDefault="007668DE" w:rsidP="00E03A30">
      <w:pPr>
        <w:numPr>
          <w:ilvl w:val="0"/>
          <w:numId w:val="17"/>
        </w:numPr>
        <w:autoSpaceDE w:val="0"/>
        <w:autoSpaceDN w:val="0"/>
        <w:adjustRightInd w:val="0"/>
        <w:spacing w:after="22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7AB177D1" w14:textId="77777777" w:rsidR="007668DE" w:rsidRPr="007668DE" w:rsidRDefault="007668DE" w:rsidP="00E03A30">
      <w:pPr>
        <w:numPr>
          <w:ilvl w:val="0"/>
          <w:numId w:val="17"/>
        </w:numPr>
        <w:autoSpaceDE w:val="0"/>
        <w:autoSpaceDN w:val="0"/>
        <w:adjustRightInd w:val="0"/>
        <w:spacing w:after="22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054E80FE" w14:textId="77777777" w:rsidR="007668DE" w:rsidRPr="007668DE" w:rsidRDefault="007668DE" w:rsidP="00E03A30">
      <w:pPr>
        <w:numPr>
          <w:ilvl w:val="0"/>
          <w:numId w:val="18"/>
        </w:numPr>
        <w:autoSpaceDE w:val="0"/>
        <w:autoSpaceDN w:val="0"/>
        <w:adjustRightInd w:val="0"/>
        <w:spacing w:after="22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2FB751B0" w14:textId="77777777" w:rsidR="007668DE" w:rsidRPr="007668DE" w:rsidRDefault="007668DE" w:rsidP="00E03A30">
      <w:pPr>
        <w:numPr>
          <w:ilvl w:val="0"/>
          <w:numId w:val="18"/>
        </w:numPr>
        <w:autoSpaceDE w:val="0"/>
        <w:autoSpaceDN w:val="0"/>
        <w:adjustRightInd w:val="0"/>
        <w:spacing w:after="22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26C5965E" w14:textId="77777777" w:rsidR="007668DE" w:rsidRPr="007668DE" w:rsidRDefault="007668DE" w:rsidP="00E03A30">
      <w:pPr>
        <w:numPr>
          <w:ilvl w:val="0"/>
          <w:numId w:val="18"/>
        </w:numPr>
        <w:autoSpaceDE w:val="0"/>
        <w:autoSpaceDN w:val="0"/>
        <w:adjustRightInd w:val="0"/>
        <w:spacing w:after="22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05266E4B" w14:textId="77777777" w:rsidR="007668DE" w:rsidRPr="007668DE" w:rsidRDefault="007668DE" w:rsidP="00E03A30">
      <w:pPr>
        <w:numPr>
          <w:ilvl w:val="0"/>
          <w:numId w:val="18"/>
        </w:numPr>
        <w:autoSpaceDE w:val="0"/>
        <w:autoSpaceDN w:val="0"/>
        <w:adjustRightInd w:val="0"/>
        <w:spacing w:after="22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2E61D411" w14:textId="77777777" w:rsidR="007668DE" w:rsidRPr="007668DE" w:rsidRDefault="007668DE" w:rsidP="00E03A30">
      <w:pPr>
        <w:numPr>
          <w:ilvl w:val="0"/>
          <w:numId w:val="18"/>
        </w:numPr>
        <w:autoSpaceDE w:val="0"/>
        <w:autoSpaceDN w:val="0"/>
        <w:adjustRightInd w:val="0"/>
        <w:spacing w:after="22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7A115914" w14:textId="77777777" w:rsidR="007668DE" w:rsidRPr="007668DE" w:rsidRDefault="007668DE" w:rsidP="00E03A30">
      <w:pPr>
        <w:numPr>
          <w:ilvl w:val="0"/>
          <w:numId w:val="16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i szczególne okoliczności czynu Wykonawcy, a jeżeli uzna, że nie są wystarczające, wykluczy Wykonawcę z postępowania. </w:t>
      </w:r>
    </w:p>
    <w:p w14:paraId="06934A5B" w14:textId="77777777" w:rsidR="005522FC" w:rsidRDefault="005522FC" w:rsidP="00E03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7B449FDA" w14:textId="77777777" w:rsidTr="00457EEF">
        <w:tc>
          <w:tcPr>
            <w:tcW w:w="9180" w:type="dxa"/>
            <w:shd w:val="pct10" w:color="auto" w:fill="auto"/>
          </w:tcPr>
          <w:p w14:paraId="5B9842B9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Podstawy wykluczenia, o których mowa w art.109 ust.1 ustawy Pzp</w:t>
            </w:r>
          </w:p>
        </w:tc>
      </w:tr>
    </w:tbl>
    <w:p w14:paraId="12B55693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C6F9E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596EDF99" w14:textId="77777777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668DE" w:rsidRPr="007C63C8" w14:paraId="3D1F42D5" w14:textId="77777777" w:rsidTr="00F10277">
        <w:tc>
          <w:tcPr>
            <w:tcW w:w="9180" w:type="dxa"/>
            <w:shd w:val="pct10" w:color="auto" w:fill="auto"/>
          </w:tcPr>
          <w:p w14:paraId="0D84DD02" w14:textId="77777777" w:rsidR="007668DE" w:rsidRPr="007668DE" w:rsidRDefault="007668DE" w:rsidP="00F1027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XX. a 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Podstawy wykluczenia na podstawie ustawy z dnia </w:t>
            </w:r>
            <w:r w:rsidR="00092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kwietnia 2022 r. o szczególnych rozwiązaniach w zakresie przeciwdziałania wspieraniu agresji na Ukrainę oraz służących ochronie bezpieczeństwa narodowego</w:t>
            </w:r>
          </w:p>
        </w:tc>
      </w:tr>
    </w:tbl>
    <w:p w14:paraId="7353CC8D" w14:textId="77777777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B41FE" w14:textId="77777777" w:rsidR="007668DE" w:rsidRPr="007668DE" w:rsidRDefault="007668DE" w:rsidP="003057D0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Na podstawie ustawy z dnia 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>zakresie przeciwdziałania wspieraniu agresji na Ukrainę oraz służących ochronie bezpieczeństwa narodowego (zwanej dalej „</w:t>
      </w:r>
      <w:bookmarkStart w:id="2" w:name="_Hlk101350176"/>
      <w:r w:rsidRPr="007668DE">
        <w:rPr>
          <w:rFonts w:ascii="Times New Roman" w:eastAsia="Calibri" w:hAnsi="Times New Roman" w:cs="Times New Roman"/>
          <w:sz w:val="24"/>
          <w:szCs w:val="24"/>
        </w:rPr>
        <w:t>ustawą s.r.p.w.a.n.u</w:t>
      </w:r>
      <w:bookmarkEnd w:id="2"/>
      <w:r w:rsidRPr="007668DE">
        <w:rPr>
          <w:rFonts w:ascii="Times New Roman" w:eastAsia="Calibri" w:hAnsi="Times New Roman" w:cs="Times New Roman"/>
          <w:sz w:val="24"/>
          <w:szCs w:val="24"/>
        </w:rPr>
        <w:t>”) z postępowania o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>udzielenie zamówienia publicznego wyklucza się:</w:t>
      </w:r>
    </w:p>
    <w:p w14:paraId="267FA862" w14:textId="77777777" w:rsidR="007668DE" w:rsidRPr="007668DE" w:rsidRDefault="007668DE" w:rsidP="003057D0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 wymienionego w wykazach określonych w rozporządzeniu 765/2006 i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>rozporządzeniu 269/2014 albo wpisanego na listę na podstawie decyzji w sprawie wpisu na listę rozstrzygającej o zastosowaniu środka, o którym mowa w art. 1 pkt 3 ustawy s.r.p.w.a.n.u (wykluczenie z postepowania);</w:t>
      </w:r>
    </w:p>
    <w:p w14:paraId="0A6B7BDD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2)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8DE">
        <w:rPr>
          <w:rFonts w:ascii="Times New Roman" w:eastAsia="Calibri" w:hAnsi="Times New Roman" w:cs="Times New Roman"/>
          <w:sz w:val="24"/>
          <w:szCs w:val="24"/>
        </w:rPr>
        <w:t>ustawy s.r.p.w.a.n.u (wykluczenie z postepowania);</w:t>
      </w:r>
    </w:p>
    <w:p w14:paraId="587B92F8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3)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s.r.p.w.a.n.u (wykluczenie z postępowania).</w:t>
      </w:r>
    </w:p>
    <w:p w14:paraId="17C20B17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0A30206A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1359931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Pzp w związku z art. 7 ust. 3 ustawy </w:t>
      </w:r>
      <w:bookmarkEnd w:id="3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.</w:t>
      </w:r>
    </w:p>
    <w:p w14:paraId="735838AE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Kontrola udzielania zamówień publicznych w zakresie zgodności z ust. 1 jest wykonywana zgodnie z art. 596 ustawy z dnia 11 września 2019 r. - Prawo zamówień publicznych.</w:t>
      </w:r>
    </w:p>
    <w:p w14:paraId="1A835191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</w:p>
    <w:p w14:paraId="3ADCDFF3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>postępowaniu o udzielenie zamówienia publicznego, podlegają karze pieniężnej.</w:t>
      </w:r>
    </w:p>
    <w:p w14:paraId="46883090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Karę pieniężną, o której mowa w ust. 6, nakłada Prezes Urzędu Zamówień Publicznych w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>drodze decyzji, do wysokości 20 000 000 zł.</w:t>
      </w:r>
    </w:p>
    <w:p w14:paraId="71BBE27F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 zakresie nieuregulowanym w ust. 6 i 7 do nakładania i wymierzania kary pieniężnej, o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>której mowa w ust. 6, stosuje się przepisy działu IVa ustawy z dnia 14 czerwca 1960 r. - Kodeks postępowania administracyjnego.</w:t>
      </w:r>
    </w:p>
    <w:p w14:paraId="4FED0857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Wpływy z kar pieniężnych, o których mowa w ust. 6, stanowią dochód budżetu państwa.</w:t>
      </w:r>
    </w:p>
    <w:p w14:paraId="5365C227" w14:textId="77777777" w:rsidR="007668DE" w:rsidRPr="007668DE" w:rsidRDefault="007668DE" w:rsidP="007668D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63620" w14:textId="77777777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1360356"/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UWAGA!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załączniku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E728F1" w14:textId="77777777" w:rsidR="007668DE" w:rsidRDefault="007668DE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ykonawców wspólnie ubiegających się o zamówienie.</w:t>
      </w:r>
    </w:p>
    <w:p w14:paraId="6C1A6BAF" w14:textId="77777777" w:rsidR="003057D0" w:rsidRDefault="003057D0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A20A04" w14:textId="77777777" w:rsidR="003057D0" w:rsidRPr="007668DE" w:rsidRDefault="003057D0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4"/>
    <w:p w14:paraId="7F671597" w14:textId="77777777" w:rsidR="009B0F9C" w:rsidRDefault="009B0F9C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0B8B4B7A" w14:textId="77777777" w:rsidTr="00457EEF">
        <w:tc>
          <w:tcPr>
            <w:tcW w:w="9180" w:type="dxa"/>
            <w:shd w:val="pct10" w:color="auto" w:fill="auto"/>
          </w:tcPr>
          <w:p w14:paraId="30B42F6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79DB3E9D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E0F2F" w14:textId="77777777" w:rsidR="00190B54" w:rsidRDefault="00123A26" w:rsidP="00123A26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</w:t>
      </w:r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nie stawia warunków udziału w postępowaniu.</w:t>
      </w:r>
    </w:p>
    <w:p w14:paraId="2F996B8C" w14:textId="77777777" w:rsidR="00CE667C" w:rsidRDefault="00CE667C" w:rsidP="00CE667C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2BBF9BDF" w14:textId="77777777" w:rsidR="00087345" w:rsidRPr="001B4858" w:rsidRDefault="00F86695" w:rsidP="00CE667C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667C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 w:rsidRPr="00CE667C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C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CB94D2" w14:textId="77777777" w:rsidR="001B4858" w:rsidRPr="00CE667C" w:rsidRDefault="001B4858" w:rsidP="001B4858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4D19422F" w14:textId="77777777" w:rsidR="00AE4979" w:rsidRPr="00C6247E" w:rsidRDefault="00AE4979" w:rsidP="001B4858">
      <w:pPr>
        <w:pStyle w:val="Akapitzlist"/>
        <w:numPr>
          <w:ilvl w:val="0"/>
          <w:numId w:val="37"/>
        </w:numPr>
        <w:tabs>
          <w:tab w:val="num" w:pos="1134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5D0CF5B1" w14:textId="77777777" w:rsidR="00AE4979" w:rsidRPr="00F7324C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ustawy Pzp.</w:t>
      </w:r>
      <w:r w:rsidR="00F7324C" w:rsidRPr="00F73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oraz na podstawie ustawy 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</w:t>
      </w:r>
    </w:p>
    <w:p w14:paraId="553A615D" w14:textId="77777777" w:rsidR="00AE4979" w:rsidRPr="007C63C8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3BB6135D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5311A3D0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</w:t>
      </w:r>
      <w:r w:rsidR="00556ED8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ykonawców. </w:t>
      </w:r>
    </w:p>
    <w:p w14:paraId="66C631E9" w14:textId="77777777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59F32" w14:textId="77777777" w:rsidR="0054263F" w:rsidRDefault="0054263F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0666053A" w14:textId="77777777" w:rsidTr="000323DC">
        <w:tc>
          <w:tcPr>
            <w:tcW w:w="9180" w:type="dxa"/>
            <w:shd w:val="pct10" w:color="auto" w:fill="auto"/>
          </w:tcPr>
          <w:p w14:paraId="27691C0E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</w:t>
            </w:r>
            <w:r w:rsidR="0009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45C36">
              <w:rPr>
                <w:rFonts w:ascii="Times New Roman" w:hAnsi="Times New Roman" w:cs="Times New Roman"/>
                <w:b/>
                <w:sz w:val="24"/>
                <w:szCs w:val="24"/>
              </w:rPr>
              <w:t>przedmiotowych środków dowodowych,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dokumentów, które należy złożyć wraz z ofertą</w:t>
            </w:r>
          </w:p>
        </w:tc>
      </w:tr>
    </w:tbl>
    <w:p w14:paraId="12E34822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452ED76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6C6C88AE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459A0" w14:textId="77777777" w:rsidR="003A2D3F" w:rsidRPr="007C63C8" w:rsidRDefault="0042481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9AEFD81" w14:textId="77777777" w:rsidR="00C02377" w:rsidRPr="007C63C8" w:rsidRDefault="00C02377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49402869" w14:textId="77777777" w:rsidR="008A49FC" w:rsidRPr="00D44B53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D44B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braku podania w ofercie 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D44B53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 w:rsidRPr="00D44B53">
        <w:rPr>
          <w:rFonts w:ascii="Times New Roman" w:eastAsia="Calibri" w:hAnsi="Times New Roman" w:cs="Times New Roman"/>
          <w:sz w:val="24"/>
          <w:szCs w:val="24"/>
        </w:rPr>
        <w:t> bezpłatnych bazach danych.</w:t>
      </w:r>
    </w:p>
    <w:p w14:paraId="3D5B2960" w14:textId="77777777" w:rsidR="00563713" w:rsidRPr="007C63C8" w:rsidRDefault="008A49FC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3">
        <w:rPr>
          <w:rFonts w:ascii="Times New Roman" w:eastAsia="Calibri" w:hAnsi="Times New Roman" w:cs="Times New Roman"/>
          <w:sz w:val="24"/>
          <w:szCs w:val="24"/>
        </w:rPr>
        <w:t>Powyższe stosuje się odpowiedni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>o</w:t>
      </w:r>
      <w:r w:rsidRPr="00D44B53">
        <w:rPr>
          <w:rFonts w:ascii="Times New Roman" w:eastAsia="Calibri" w:hAnsi="Times New Roman" w:cs="Times New Roman"/>
          <w:sz w:val="24"/>
          <w:szCs w:val="24"/>
        </w:rPr>
        <w:t xml:space="preserve"> do osoby działającej w imieniu podmiotu udostępniającego zasoby na zasadach określonych w art. 118 ustawy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 xml:space="preserve"> Pzp.</w:t>
      </w:r>
    </w:p>
    <w:p w14:paraId="6D4F0A8F" w14:textId="77777777" w:rsidR="00C673F4" w:rsidRPr="007C63C8" w:rsidRDefault="00C673F4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- </w:t>
      </w:r>
      <w:r w:rsidR="003932AE">
        <w:rPr>
          <w:rFonts w:ascii="Times New Roman" w:eastAsia="Calibri" w:hAnsi="Times New Roman" w:cs="Times New Roman"/>
          <w:sz w:val="24"/>
          <w:szCs w:val="24"/>
        </w:rPr>
        <w:t>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0C55031E" w14:textId="77777777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</w:t>
      </w:r>
      <w:r w:rsidR="008A49FC">
        <w:rPr>
          <w:rFonts w:ascii="Times New Roman" w:eastAsia="Calibri" w:hAnsi="Times New Roman" w:cs="Times New Roman"/>
          <w:sz w:val="24"/>
          <w:szCs w:val="24"/>
        </w:rPr>
        <w:t>ę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3F">
        <w:rPr>
          <w:rFonts w:ascii="Times New Roman" w:eastAsia="Calibri" w:hAnsi="Times New Roman" w:cs="Times New Roman"/>
          <w:sz w:val="24"/>
          <w:szCs w:val="24"/>
        </w:rPr>
        <w:t>oraz podmiotu udostępniającego zasoby na zasadach określonych w art. 118 ustawy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65506B" w14:textId="77777777" w:rsidR="00563713" w:rsidRPr="007C63C8" w:rsidRDefault="00563713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wykluczeniu </w:t>
      </w:r>
      <w:r w:rsidR="00943617">
        <w:rPr>
          <w:rFonts w:ascii="Times New Roman" w:eastAsia="Calibri" w:hAnsi="Times New Roman" w:cs="Times New Roman"/>
          <w:b/>
          <w:sz w:val="24"/>
          <w:szCs w:val="24"/>
        </w:rPr>
        <w:t xml:space="preserve">oraz spełnieniu warunków udziału w 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DCAED64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5D01EAF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2DA01D89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7299EAC1" w14:textId="77777777" w:rsidR="00EC3F9C" w:rsidRPr="007C63C8" w:rsidRDefault="00EC3F9C" w:rsidP="00D2404C">
      <w:pPr>
        <w:pStyle w:val="Tekstpodstawowy"/>
        <w:numPr>
          <w:ilvl w:val="0"/>
          <w:numId w:val="21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CE667C">
        <w:rPr>
          <w:b/>
        </w:rPr>
        <w:t>4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15CFF417" w14:textId="77777777" w:rsidR="00C673F4" w:rsidRPr="007C63C8" w:rsidRDefault="000376C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D3C123" w14:textId="77777777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07A5510E" w14:textId="77777777" w:rsidR="00941BB7" w:rsidRDefault="00941BB7" w:rsidP="00D2404C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1B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wg Załącznika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6C234ACB" w14:textId="77777777" w:rsidR="008A0780" w:rsidRDefault="008A0780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F93D3E" w14:textId="77777777" w:rsidR="003A2D3F" w:rsidRPr="00D47724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7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II. </w:t>
      </w:r>
      <w:r w:rsidR="00C673F4" w:rsidRPr="00D47724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(zgodnie z Art.274.1 Pzp) w wyznaczonym przez Zamawiającego terminie nie krótszym niż 5 dni od dnia wezwania.</w:t>
      </w:r>
    </w:p>
    <w:p w14:paraId="14AF31CB" w14:textId="77777777" w:rsidR="00C673F4" w:rsidRDefault="00DC09F9" w:rsidP="00CE667C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24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ykonawcy o aktualności informacji zawartych w oświadczeniu, o którym mowa w 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>a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rt.125 ust.1 ustawy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 xml:space="preserve"> Pzp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, w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D47724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15EA0D" w14:textId="77777777" w:rsidR="00345C36" w:rsidRDefault="00345C36" w:rsidP="00345C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13FE1BCD" w14:textId="77777777" w:rsidTr="005357A3">
        <w:tc>
          <w:tcPr>
            <w:tcW w:w="9180" w:type="dxa"/>
            <w:shd w:val="pct10" w:color="auto" w:fill="auto"/>
          </w:tcPr>
          <w:p w14:paraId="03C0BC22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167D4AD6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ACB288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wniesienia wadium w wysokości: </w:t>
      </w:r>
    </w:p>
    <w:p w14:paraId="7F49ED7C" w14:textId="77777777" w:rsidR="0054263F" w:rsidRPr="0054263F" w:rsidRDefault="0054263F" w:rsidP="0054263F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2 000,00</w:t>
      </w:r>
      <w:r w:rsidRPr="0054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(dwa tysiące</w:t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00/100), </w:t>
      </w:r>
    </w:p>
    <w:p w14:paraId="5228A555" w14:textId="77777777" w:rsidR="0054263F" w:rsidRPr="0054263F" w:rsidRDefault="0054263F" w:rsidP="0054263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wnieść przed upływem terminu składania ofert. </w:t>
      </w:r>
      <w:r w:rsidRPr="0054263F">
        <w:rPr>
          <w:rFonts w:ascii="Times New Roman" w:hAnsi="Times New Roman" w:cs="Times New Roman"/>
          <w:sz w:val="24"/>
          <w:szCs w:val="24"/>
        </w:rPr>
        <w:t xml:space="preserve">Wadium musi obejmować cały okres związania ofertą. </w:t>
      </w:r>
    </w:p>
    <w:p w14:paraId="7C5B8E4F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 jest dopuszczalne tylko z jednoczesnym przedłużeniem okresu ważności wadium na przedłużony okres związania ofertą.</w:t>
      </w:r>
    </w:p>
    <w:p w14:paraId="5F6F6422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może być wnoszone wg. wyboru Wykonawcy w jednej lub kilku następujących  formach:</w:t>
      </w:r>
    </w:p>
    <w:p w14:paraId="4F615ADF" w14:textId="77777777" w:rsidR="0054263F" w:rsidRPr="0054263F" w:rsidRDefault="0054263F" w:rsidP="0054263F">
      <w:pPr>
        <w:numPr>
          <w:ilvl w:val="1"/>
          <w:numId w:val="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14:paraId="64E7F3C7" w14:textId="77777777" w:rsidR="0054263F" w:rsidRPr="0054263F" w:rsidRDefault="0054263F" w:rsidP="0054263F">
      <w:pPr>
        <w:numPr>
          <w:ilvl w:val="1"/>
          <w:numId w:val="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14:paraId="3180002C" w14:textId="77777777" w:rsidR="0054263F" w:rsidRPr="0054263F" w:rsidRDefault="0054263F" w:rsidP="0054263F">
      <w:pPr>
        <w:numPr>
          <w:ilvl w:val="1"/>
          <w:numId w:val="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14:paraId="16935A86" w14:textId="77777777" w:rsidR="0054263F" w:rsidRPr="0054263F" w:rsidRDefault="0054263F" w:rsidP="0054263F">
      <w:pPr>
        <w:numPr>
          <w:ilvl w:val="1"/>
          <w:numId w:val="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poręczeniach udzielonych przez podmioty, o których mowa w art. 6b ust. 5 pkt. 2  ustawy z 9 listopada 2000 r. o utworzeniu Polskiej Agencji Rozwoju Przedsiębiorczości. </w:t>
      </w:r>
    </w:p>
    <w:p w14:paraId="2E04858C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wnoszone w pieniądzu należy wpłacić przelewem na rachunek bankowy Zamawiającego w PKO Bank Polski SA z dopiskiem: </w:t>
      </w:r>
    </w:p>
    <w:p w14:paraId="7E840E8B" w14:textId="77777777" w:rsidR="0054263F" w:rsidRPr="003A7C78" w:rsidRDefault="0054263F" w:rsidP="0054263F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</w:t>
      </w:r>
      <w:r w:rsidRPr="003A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fabrycznie nowego samochodu do przewozu osób, w tym osób niepełnosprawnych”</w:t>
      </w:r>
    </w:p>
    <w:p w14:paraId="2B2EDDAA" w14:textId="77777777" w:rsidR="0054263F" w:rsidRPr="0054263F" w:rsidRDefault="0054263F" w:rsidP="0054263F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Nr rachunku: 59 1020 4027 0000 1302 1215 5067.</w:t>
      </w:r>
    </w:p>
    <w:p w14:paraId="3FFA7D47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wniesione w formie gwarancji lub poręczenia, należy załączyć w oryginale w postaci dokumentu elektronicznego podpisanego kwalifikowanym podpisem elektronicznym przez wystawcę dokumentu i powinno obejmować odpowiedzialność za wszystkie przypadki powodujące jego utratę przez Wykonawcę określone w art. 98 ust.6 ustawy Pzp.  </w:t>
      </w:r>
    </w:p>
    <w:p w14:paraId="07A4E151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Wniesienie wadium w pieniądzu będzie skuteczne, jeśli w podanym terminie rachunek bankowy Zamawiającego zostanie uznany pełną kwotą wymaganego wadium. </w:t>
      </w:r>
    </w:p>
    <w:p w14:paraId="5B648FB4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poręczenia lub gwarancji wadialnej musi zawierać w szczególności następujące elementy:</w:t>
      </w:r>
    </w:p>
    <w:p w14:paraId="3BE9DDD5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nazwę i adres Zamawiającego,</w:t>
      </w:r>
    </w:p>
    <w:p w14:paraId="15F00E5F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nazwę zamówienia, </w:t>
      </w:r>
    </w:p>
    <w:p w14:paraId="35640BC2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nazwę i adres Wykonawcy,</w:t>
      </w:r>
    </w:p>
    <w:p w14:paraId="5A23E29F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termin ważności gwarancji/poręczenia,</w:t>
      </w:r>
    </w:p>
    <w:p w14:paraId="2DB9E31A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określenie wierzytelności, która ma być zabezpieczona gwarancją/ poręczeniem, </w:t>
      </w:r>
    </w:p>
    <w:p w14:paraId="4F4A2127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z treści gwarancji powinno wynikać bezwarunkowe i nieodwołalne zobowiązanie Gwaranta do wypłaty Zamawiającemu pełnej kwoty wadium na każde pisemne żądanie  w okolicznościach określonych w art. 98 ust. 6 ustawy Pzp.</w:t>
      </w:r>
    </w:p>
    <w:p w14:paraId="69E6C4A9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zwrotu wadium, w przypadkach, terminach i na zasadach określonych w art. 98 ust. 1 - 5 ustawy Pzp</w:t>
      </w:r>
      <w:r w:rsidRPr="0054263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5136C06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zatrzymuje wadium wraz z odsetkami, a w przypadku wadium wniesionego w formie gwarancji lub poręczenia, występuje odpowiednio do gwaranta lub poręczyciela z żądaniem zapłaty wadium jeżeli zajdą okoliczności wymienione w art. 98 ust. 6 ustaw Pzp.</w:t>
      </w:r>
    </w:p>
    <w:p w14:paraId="6523F9D8" w14:textId="77777777" w:rsidR="007170B5" w:rsidRPr="00991CE4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72E61EF8" w14:textId="77777777" w:rsidTr="00C17341">
        <w:tc>
          <w:tcPr>
            <w:tcW w:w="9180" w:type="dxa"/>
            <w:shd w:val="pct10" w:color="auto" w:fill="auto"/>
          </w:tcPr>
          <w:p w14:paraId="3034C13D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013EF9D2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02AC27" w14:textId="77777777" w:rsidR="00AF25CC" w:rsidRPr="00AF25CC" w:rsidRDefault="00EF25D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CC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2244AB" w:rsidRPr="00AF25CC">
        <w:rPr>
          <w:rFonts w:ascii="Times New Roman" w:hAnsi="Times New Roman" w:cs="Times New Roman"/>
          <w:sz w:val="24"/>
          <w:szCs w:val="24"/>
        </w:rPr>
        <w:t>.</w:t>
      </w:r>
      <w:r w:rsidR="00BB3279" w:rsidRPr="00AF2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33D38" w14:textId="77777777" w:rsidR="00E16A82" w:rsidRPr="00AF25CC" w:rsidRDefault="00E16A8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84A7E"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druku oferty</w:t>
      </w: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zawierać wszystkie koszty niezbędne do realizacji przedmiotu zamówienia wynikające z dokumentacji przetargowej, oraz wszystkie inne koszty w niej nie ujęte, bez których niemożliwe jest wykonanie zamówienia</w:t>
      </w:r>
      <w:r w:rsidR="00684A7E"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dostarczenie przedmiotu zamówienia</w:t>
      </w: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A0659C" w14:textId="77777777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B3279">
        <w:rPr>
          <w:rFonts w:ascii="Times New Roman" w:eastAsia="Times New Roman" w:hAnsi="Times New Roman" w:cs="Times New Roman"/>
          <w:sz w:val="24"/>
          <w:szCs w:val="24"/>
          <w:lang w:eastAsia="pl-PL"/>
        </w:rPr>
        <w:t>ę oferty oraz ceny jednostkowe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z dokładnością do dwóch miejsc po przecinku. W przypadku gdy Wykonawca poda cenę z dokładnością do trzech lub więcej miejsc po przecinku Zamawiający poprawi ofertę - stosując zaokrąglenia matematyczne.</w:t>
      </w:r>
    </w:p>
    <w:p w14:paraId="1466EA77" w14:textId="77777777" w:rsid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podatku VAT należy podać zgodnie z przepisami obowiązującymi na dzień składania ofert.</w:t>
      </w:r>
    </w:p>
    <w:p w14:paraId="4B3D9412" w14:textId="77777777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</w:t>
      </w:r>
      <w:r w:rsidR="00E951B3">
        <w:rPr>
          <w:rFonts w:ascii="Times New Roman" w:hAnsi="Times New Roman" w:cs="Times New Roman"/>
          <w:sz w:val="24"/>
          <w:szCs w:val="24"/>
        </w:rPr>
        <w:t>Z</w:t>
      </w:r>
      <w:r w:rsidRPr="00E16A82">
        <w:rPr>
          <w:rFonts w:ascii="Times New Roman" w:hAnsi="Times New Roman" w:cs="Times New Roman"/>
          <w:sz w:val="24"/>
          <w:szCs w:val="24"/>
        </w:rPr>
        <w:t xml:space="preserve">amawiającego obowiązku podatkowego, wskazując nazwę 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E16A82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14666343" w14:textId="77777777" w:rsidR="000476F6" w:rsidRPr="007C63C8" w:rsidRDefault="000476F6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4E30827B" w14:textId="77777777" w:rsidTr="00C17341">
        <w:tc>
          <w:tcPr>
            <w:tcW w:w="9180" w:type="dxa"/>
            <w:shd w:val="pct10" w:color="auto" w:fill="auto"/>
          </w:tcPr>
          <w:p w14:paraId="36FACA52" w14:textId="77777777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60A8898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26F5E0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kryteriami, wagami tych kryteriów oraz sposobem oceny ofert</w:t>
      </w:r>
      <w:r w:rsidRPr="00EE2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E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B3773A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1D8A5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Kryterium nr 1</w:t>
      </w:r>
      <w:r w:rsidRPr="007E19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 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Cena wykonania zamówienia - waga kryterium 60% </w:t>
      </w:r>
    </w:p>
    <w:p w14:paraId="3610ECFC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najniższą ceną uzyska 60 punktów.</w:t>
      </w:r>
    </w:p>
    <w:p w14:paraId="42605E7C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158AD9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ofert w kryterium cena:</w:t>
      </w:r>
    </w:p>
    <w:p w14:paraId="037C6B78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39CC1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najniższa </w:t>
      </w:r>
    </w:p>
    <w:p w14:paraId="721180DC" w14:textId="77777777" w:rsidR="007E19BD" w:rsidRPr="007E19BD" w:rsidRDefault="007E19BD" w:rsidP="007E19B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 x  60% x 100 punktów = Punkty uzyskane przez ofertę badaną</w:t>
      </w:r>
    </w:p>
    <w:p w14:paraId="24897594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badana </w:t>
      </w:r>
    </w:p>
    <w:p w14:paraId="487079C5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DFC4D97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Uzyskana z wyliczenia ilość punktów zostanie ustalona z dokładnością do dwóch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 po przecinku  z zachowaniem zasady zaokrągleń matematycznych. </w:t>
      </w:r>
    </w:p>
    <w:p w14:paraId="73395738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D3F67A" w14:textId="77777777" w:rsidR="007E19BD" w:rsidRPr="007E19BD" w:rsidRDefault="007E19BD" w:rsidP="007E19B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Kryterium nr 2 - Okres gwarancji</w:t>
      </w:r>
      <w:r w:rsidR="00F17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42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 zespół napędowy 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– waga kryterium  </w:t>
      </w:r>
      <w:r w:rsidR="00542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0%</w:t>
      </w:r>
    </w:p>
    <w:p w14:paraId="53A39F54" w14:textId="77777777" w:rsidR="007E19BD" w:rsidRPr="007E19BD" w:rsidRDefault="007E19BD" w:rsidP="007E19BD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 najdłuższym okresem gwarancji uzyska </w:t>
      </w:r>
      <w:r w:rsid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0 punktów.</w:t>
      </w:r>
    </w:p>
    <w:p w14:paraId="472440D7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D86473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Sposób oceny ofert w kryterium okres gwarancji</w:t>
      </w:r>
      <w:r w:rsidR="00542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zespół napędowy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C9282A5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AB8E0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 gwarancji </w:t>
      </w:r>
    </w:p>
    <w:p w14:paraId="0F83476A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badanej oferty </w:t>
      </w:r>
    </w:p>
    <w:p w14:paraId="3A575F7C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-------- x </w:t>
      </w:r>
      <w:r w:rsid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x  100 punktów = Punkty uzyskane przez ofertę badaną </w:t>
      </w:r>
    </w:p>
    <w:p w14:paraId="44F6F7CE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Najdłuższy okres gwarancji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8D78EB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spośród złożonych ofert </w:t>
      </w:r>
    </w:p>
    <w:p w14:paraId="3B64BC78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F0D0E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Uzyskana z wyliczenia ilość punktów zostanie ustalona z dokładnością do dwóch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 po przecinku  z zachowaniem zasady zaokrągleń matematycznych. </w:t>
      </w:r>
    </w:p>
    <w:p w14:paraId="4AC4942C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2753DC3" w14:textId="77777777" w:rsidR="0054263F" w:rsidRPr="0054263F" w:rsidRDefault="0054263F" w:rsidP="0054263F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Kryterium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542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Okres gwarancji 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powłokę lakierniczą</w:t>
      </w:r>
      <w:r w:rsidRPr="00542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waga kryterium  20%</w:t>
      </w:r>
    </w:p>
    <w:p w14:paraId="16CF639E" w14:textId="77777777" w:rsidR="0054263F" w:rsidRPr="0054263F" w:rsidRDefault="0054263F" w:rsidP="005426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najdłuższym okresem gwarancji uzyska 20 punktów.</w:t>
      </w:r>
    </w:p>
    <w:p w14:paraId="2D2D6EF4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065637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Sposób oceny ofert w kryterium okres gwarancji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powłokę lakierniczą</w:t>
      </w:r>
      <w:r w:rsidRPr="00542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5265212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7716E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 gwarancji </w:t>
      </w:r>
    </w:p>
    <w:p w14:paraId="26374A3A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badanej oferty </w:t>
      </w:r>
    </w:p>
    <w:p w14:paraId="32274E91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-------- x 20% x  100 punktów = Punkty uzyskane przez ofertę badaną </w:t>
      </w:r>
    </w:p>
    <w:p w14:paraId="28FDCCB2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Najdłuższy okres gwarancji </w:t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A28F19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spośród złożonych ofert </w:t>
      </w:r>
    </w:p>
    <w:p w14:paraId="16588209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13F7A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Uzyskana z wyliczenia ilość punktów zostanie ustalona z dokładnością do dwóch </w:t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 po przecinku  z zachowaniem zasady zaokrągleń matematycznych. </w:t>
      </w:r>
    </w:p>
    <w:p w14:paraId="656D0B9A" w14:textId="77777777" w:rsidR="0054263F" w:rsidRDefault="0054263F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2FC72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regulacje - wymagania w zakresie kryterium nr 2</w:t>
      </w:r>
      <w:r w:rsidR="00542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3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77B71AA" w14:textId="77777777" w:rsidR="007E19BD" w:rsidRPr="007E19BD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musi być wyrażony w pełnych miesiącach,</w:t>
      </w:r>
    </w:p>
    <w:p w14:paraId="45C44ED7" w14:textId="77777777" w:rsidR="007E19BD" w:rsidRPr="007E19BD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okres gwarancji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miesiące,</w:t>
      </w:r>
    </w:p>
    <w:p w14:paraId="17115DE8" w14:textId="77777777" w:rsidR="007E19BD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okres gwarancji podlegający ocenie wynosi </w:t>
      </w:r>
      <w:r w:rsidR="008D549B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4C51EB" w14:textId="77777777" w:rsidR="0054263F" w:rsidRPr="007E19BD" w:rsidRDefault="0054263F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dotyczy również wszystkich zamontowanych i wbudowanych urządzeń,</w:t>
      </w:r>
    </w:p>
    <w:p w14:paraId="5AEF6688" w14:textId="77777777" w:rsidR="007E19BD" w:rsidRPr="007E19BD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przypadku braku podania przez Wykonawcę w ofercie terminu okresu gwarancji uznaje się, że Wykonawca zaoferował minimalny termin okresu gwarancji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</w:t>
      </w: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taki termin zostanie uwzględniony w umowie z Wykonawcą, 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D3D5828" w14:textId="77777777" w:rsidR="007E19BD" w:rsidRPr="008D549B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Wykonawca zaproponuje termin gwarancji dłuższy niż </w:t>
      </w:r>
      <w:r w:rsidR="008D549B"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</w:t>
      </w:r>
      <w:r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miesiące, do oceny ofert w kryterium „okres gwarancji” zostanie przyjęty okres </w:t>
      </w:r>
      <w:r w:rsidR="008D549B"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</w:t>
      </w:r>
      <w:r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miesięcy; z kolei w umowie z Wykonawcą zostanie uwzględniony termin gwarancji wskazany w ofercie Wykonawcy,</w:t>
      </w:r>
    </w:p>
    <w:p w14:paraId="256BCDD3" w14:textId="77777777" w:rsidR="007E19BD" w:rsidRPr="0054263F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zaproponuje termin gwarancji krótszy niż 24 miesiące, oferta Wykonawcy zostanie odrzucona jako niezgodna z SWZ</w:t>
      </w:r>
      <w:r w:rsidR="00542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3C3E295" w14:textId="77777777" w:rsidR="0054263F" w:rsidRPr="00656324" w:rsidRDefault="0054263F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</w:pPr>
      <w:r w:rsidRPr="00656324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yellow"/>
          <w:lang w:eastAsia="pl-PL"/>
        </w:rPr>
        <w:t xml:space="preserve">w okresie gwarancji Wykonawca zapewni serwis i konserwację wszystkich zamontowanych urządzeń. Wykonawca nie może warunkować udzielenia gwarancji od wykonania przez Zamawiającego płatnych konserwacji, przeglądów itp. </w:t>
      </w:r>
      <w:r w:rsidR="00A76C5B" w:rsidRPr="00656324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yellow"/>
          <w:lang w:eastAsia="pl-PL"/>
        </w:rPr>
        <w:t>Wykonawca zobowiązuje się je wykonać bezpłatnie w ramach udzielonej gwarancji.</w:t>
      </w:r>
    </w:p>
    <w:p w14:paraId="7CD83A2E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wybrana oferta, która uzyskała najwyższą ocenę tj. ilość punktów wyliczoną w następujący sposób:</w:t>
      </w:r>
    </w:p>
    <w:p w14:paraId="0E3CDE91" w14:textId="77777777" w:rsidR="007E19BD" w:rsidRPr="007E19BD" w:rsidRDefault="007E19BD" w:rsidP="000F5BE9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liczba punktów przyznana badanej ofercie = Ilość punktów przyznanych danej ofercie w kryterium ,,cena” + Ilość punktów przyznanych danej ofercie w kryterium ,,okres gwarancji</w:t>
      </w:r>
      <w:r w:rsidR="00A76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zespół napędowy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76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 Ilość punktów przyznanych danej ofercie w kryterium ,,okres gwarancji na powłokę lakierniczą”.</w:t>
      </w:r>
    </w:p>
    <w:p w14:paraId="50330ADC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można wybrać najkorzystniejszej oferty z uwagi na to, że dwie lub więcej ofert uzyska taką samą ocenę tj. tyle samo punktów w łącznej punktacji, Zamawiający wybierze ofertę spośród tych ofert, która otrzymała najwyższą ocenę w kryterium o najwyższej wadze tj. w kryterium nr 1 "Cena". </w:t>
      </w:r>
    </w:p>
    <w:p w14:paraId="51347DE0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można dokonać wyboru oferty w sposób, o którym mowa w ust. </w:t>
      </w:r>
      <w:r w:rsidR="000F5B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wezwie Wykonawców, którzy złożyli te oferty, do złożenia w terminie określonym przez Zamawiającego ofert dodatkowych zawierających nową cenę.</w:t>
      </w:r>
    </w:p>
    <w:p w14:paraId="65CDE00D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składając oferty dodatkowe, nie mogą oferować ceny wyższej niż zaoferowane w uprzednio złożonych przez nich ofertach. </w:t>
      </w:r>
    </w:p>
    <w:p w14:paraId="26193F39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wybiera ofertę najkorzystniejszą w terminie związania ofertą - określonym w  SWZ.  </w:t>
      </w:r>
    </w:p>
    <w:p w14:paraId="319B21C9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OFERTY PO TERMINIE ZWIĄZANIA OFERTĄ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276BD8B7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zgody Wykonawcy na wybór jego oferty po terminie związania, Zamawiający zwraca się o wyrażenie takiej zgody do kolejnego Wykonawcy, którego oferta została najwyżej oceniona, chyba że zachodzą przesłanki do unieważnienia postępowania.</w:t>
      </w:r>
    </w:p>
    <w:p w14:paraId="6F659CE6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W TRAKCIE OCENY OFERT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toku badania i oceny ofert Zamawiający może żądać od Wykonawców wyjaśnień dotyczących treści złożonych ofert  lub innych składanych dokumentów lub oświadczeń. </w:t>
      </w:r>
    </w:p>
    <w:p w14:paraId="28411B24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POPRAWIENIE OMYŁEK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poprawi w treści oferty oczywiste omyłki pisarskie, omyłki rachunkowe, z uwzględnieniem konsekwencji rachunkowych dokonanych poprawek oraz inne omyłki, o których mowa w art. 223 ust. 2 ustawy Pzp  niezwłocznie zawiadamiając o tym Wykonawcę, którego oferta została poprawiona.</w:t>
      </w:r>
    </w:p>
    <w:p w14:paraId="64BB0A05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OFERTY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oferty najkorzystniejszej nastąpi wg zasad określonych w art. 239 ustawy Pzp.</w:t>
      </w:r>
    </w:p>
    <w:p w14:paraId="767C48C4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wyborze najkorzystniejszej oferty Zamawiający informuje wszystkich Wykonawców zgodnie z art. 253 ust. 1 ustawy Pzp i udostępnia informacje o wyborze na stronie internetowej prowadzonego postępowania zgodnie z art. 253 ust. 2 ustawy Pzp.</w:t>
      </w:r>
    </w:p>
    <w:p w14:paraId="19007713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ODRZUCENIE OFERTY.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odrzuci ofertę, jeżeli zajdą okoliczności określone w art. 226 ust. 1 ustawy Pzp. </w:t>
      </w:r>
    </w:p>
    <w:p w14:paraId="41E4CEB9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RAŻĄCO NISKA CENA.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lub koszt lub ich istotne części składowe, wydają się rażąco niskie w stosunku do przedmiotu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budzą wątpliwości zamawiającego co do możliwości wykonania przedmiotu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dokumentach zamówienia lub wynikającymi z odrębnych przepisów, zamawiający 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żąda od Wykonawcy wyjaśnień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złożenie dowodów, w zakresie wyliczenia ceny lub kosztu, lub ich istotnych części składowych.</w:t>
      </w:r>
    </w:p>
    <w:p w14:paraId="01DB593E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cena całkowita oferty złożonej w terminie, jest niższa o co najmniej 30% od:</w:t>
      </w:r>
    </w:p>
    <w:p w14:paraId="56FB3E51" w14:textId="77777777" w:rsidR="007E19BD" w:rsidRPr="007E19BD" w:rsidRDefault="007E19BD" w:rsidP="000F5BE9">
      <w:pPr>
        <w:numPr>
          <w:ilvl w:val="1"/>
          <w:numId w:val="4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powiększonej o należny podatek od towarów i usług, ustalonej przed wszczęciem postępowania lub średniej arytmetycznej cen wszystkich złożonych ofert niepodlegających odrzuceniu na podstawie art.226 ust.1 pkt 1 i 10, Zamawiający zwraca się o udzielenie wyjaśnień, o których mowa w punkcie 15, chyba że rozbieżność wynika z okoliczności oczywistych, które nie wymagają wyjaśnienia;</w:t>
      </w:r>
    </w:p>
    <w:p w14:paraId="7F929C5D" w14:textId="77777777" w:rsidR="007E19BD" w:rsidRPr="007E19BD" w:rsidRDefault="007E19BD" w:rsidP="000F5BE9">
      <w:pPr>
        <w:numPr>
          <w:ilvl w:val="1"/>
          <w:numId w:val="4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15.</w:t>
      </w:r>
    </w:p>
    <w:p w14:paraId="3685A50E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Wyjaśnienia, o którym mowa powyżej mogą dotyczyć w szczególności: </w:t>
      </w:r>
    </w:p>
    <w:p w14:paraId="4019DAEF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procesem produkcji, świadczonych usług lub metody budowy,</w:t>
      </w:r>
    </w:p>
    <w:p w14:paraId="3AF0DC4A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rozwiązań technicznych, wyjątkowo korzystnych warunków dostaw, usług albo związanych z realizacją robót budowlanych,</w:t>
      </w:r>
    </w:p>
    <w:p w14:paraId="453FD814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oryginalności dostaw, usług lub robót budowlanych oferowanych przez Wykonawcę,</w:t>
      </w:r>
    </w:p>
    <w:p w14:paraId="3D513EE6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zamówienie,</w:t>
      </w:r>
    </w:p>
    <w:p w14:paraId="70E6C9E7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zgodności z prawem w rozumieniu przepisów o postępowaniu w sprawach dotyczących pomocy publicznej,</w:t>
      </w:r>
    </w:p>
    <w:p w14:paraId="60DCA6A4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z zakresu prawa pracy i zabezpieczenia społecznego, obowiązującymi w miejscu, w którym realizowane jest zamówienie,</w:t>
      </w:r>
    </w:p>
    <w:p w14:paraId="0BF1C802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w zakresie ochrony środowiska,</w:t>
      </w:r>
    </w:p>
    <w:p w14:paraId="5592B3D1" w14:textId="77777777" w:rsidR="007E19BD" w:rsidRPr="007E19BD" w:rsidRDefault="007E19BD" w:rsidP="000F5BE9">
      <w:pPr>
        <w:numPr>
          <w:ilvl w:val="1"/>
          <w:numId w:val="50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obowiązków związanych z powierzeniem wykonania części zamówienia podwykonawcy. </w:t>
      </w:r>
    </w:p>
    <w:p w14:paraId="78093084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wykazania, że oferta nie zawiera rażąco niskiej ceny lub kosztu spoczywa na Wykonawcy.</w:t>
      </w:r>
    </w:p>
    <w:p w14:paraId="13971EC2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Wykonawcy, który nie udzielił wyjaśnień w wyznaczonym terminie, lub jeżeli złożone wyjaśnienia wraz z dowodami nie uzasadniają podanej w ofercie ceny lub kosztu - podlega odrzuceniu jako oferta z rażąco niską ceną lub kosztem. </w:t>
      </w:r>
    </w:p>
    <w:p w14:paraId="2783B40C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 POSTĘPOWANIA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unieważni postępowanie jeżeli zajdą okoliczności określone w art. 255 ustawy Pzp, oraz może unieważnić postępowanie jeśli zajdą okoliczności, o których mowa w art. 256 i art. 310 ustawy Pzp. </w:t>
      </w:r>
    </w:p>
    <w:p w14:paraId="029EF359" w14:textId="77777777" w:rsidR="00BF668C" w:rsidRDefault="00BF668C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640D45" w14:textId="77777777" w:rsidTr="00D801DC">
        <w:tc>
          <w:tcPr>
            <w:tcW w:w="9180" w:type="dxa"/>
            <w:shd w:val="pct10" w:color="auto" w:fill="auto"/>
          </w:tcPr>
          <w:p w14:paraId="26EA5FA5" w14:textId="77777777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15DCFC2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F80817" w14:textId="77777777" w:rsidR="006E1031" w:rsidRPr="004F1A08" w:rsidRDefault="00D801DC" w:rsidP="006C73B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745B2030" w14:textId="77777777" w:rsidR="006C3D7C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68977875" w14:textId="77777777" w:rsidTr="00AB46F4">
        <w:tc>
          <w:tcPr>
            <w:tcW w:w="9180" w:type="dxa"/>
            <w:shd w:val="pct10" w:color="auto" w:fill="auto"/>
          </w:tcPr>
          <w:p w14:paraId="66EEC1DE" w14:textId="77777777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903D95" w14:textId="77777777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F5201C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7DD9275" w14:textId="77777777" w:rsidR="00BF7505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0A488CDE" w14:textId="77777777" w:rsidR="007152A8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50C597" w14:textId="77777777" w:rsidR="00A76C5B" w:rsidRDefault="00A76C5B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106A7B37" w14:textId="77777777" w:rsidTr="0061018A">
        <w:tc>
          <w:tcPr>
            <w:tcW w:w="9180" w:type="dxa"/>
            <w:shd w:val="pct10" w:color="auto" w:fill="auto"/>
          </w:tcPr>
          <w:p w14:paraId="61B8FA62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600598E3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C7273D" w14:textId="77777777" w:rsidR="00D43836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 xml:space="preserve">kazane przy </w:t>
      </w:r>
      <w:r w:rsidR="00BE0138" w:rsidRPr="00045C7E">
        <w:rPr>
          <w:rFonts w:ascii="Times New Roman" w:hAnsi="Times New Roman" w:cs="Times New Roman"/>
          <w:sz w:val="24"/>
          <w:szCs w:val="24"/>
        </w:rPr>
        <w:lastRenderedPageBreak/>
        <w:t>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603922C7" w14:textId="77777777" w:rsidR="00BA0754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82169" w14:textId="77777777" w:rsidR="00BA0754" w:rsidRPr="003638AC" w:rsidRDefault="006F3279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6C2668F2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189507C6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2857F426" w14:textId="77777777" w:rsidR="00C62CBE" w:rsidRPr="003638AC" w:rsidRDefault="00C62CBE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513E18A4" w14:textId="77777777" w:rsidR="00280950" w:rsidRPr="003638AC" w:rsidRDefault="00A90BEF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56442651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EC9FF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7E394" w14:textId="77777777" w:rsidR="00B143BB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45825120" w14:textId="77777777" w:rsidR="00B143BB" w:rsidRPr="003638AC" w:rsidRDefault="00B143BB" w:rsidP="00A0140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>IX - Środki ochrony prawnej; Rozdział 1 i 2 Art.505 - 590 ustawy Pzp.</w:t>
      </w:r>
    </w:p>
    <w:p w14:paraId="336F007B" w14:textId="77777777" w:rsidR="00B143BB" w:rsidRDefault="00B143BB" w:rsidP="00A01400">
      <w:pPr>
        <w:numPr>
          <w:ilvl w:val="0"/>
          <w:numId w:val="4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Pzp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44724FF1" w14:textId="77777777" w:rsidR="00AF6495" w:rsidRDefault="00AF6495" w:rsidP="00AF6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1A18C" w14:textId="77777777" w:rsidR="00AF6495" w:rsidRDefault="00AF6495" w:rsidP="00AF6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F5F42" w14:textId="77777777" w:rsidR="00AF6495" w:rsidRDefault="00AF6495" w:rsidP="00AF6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70C2B7A0" w14:textId="77777777" w:rsidTr="0061018A">
        <w:tc>
          <w:tcPr>
            <w:tcW w:w="9180" w:type="dxa"/>
            <w:shd w:val="pct10" w:color="auto" w:fill="auto"/>
          </w:tcPr>
          <w:p w14:paraId="4A065A4A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90B60CB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448D4CB3" w14:textId="77777777" w:rsidR="000E581E" w:rsidRPr="000E581E" w:rsidRDefault="000E581E" w:rsidP="00BF7505">
      <w:p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7BC439BA" w14:textId="77777777" w:rsidR="000E581E" w:rsidRDefault="000E581E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1E79872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01B44" w14:textId="77777777" w:rsidR="000E581E" w:rsidRPr="00EE24BD" w:rsidRDefault="001B0F42" w:rsidP="00EE24BD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</w:t>
      </w:r>
      <w:r w:rsidR="00FF1F5F">
        <w:rPr>
          <w:rFonts w:ascii="Times New Roman" w:hAnsi="Times New Roman" w:cs="Times New Roman"/>
          <w:sz w:val="24"/>
          <w:szCs w:val="24"/>
        </w:rPr>
        <w:t>–</w:t>
      </w:r>
      <w:r w:rsidR="006C73B9">
        <w:rPr>
          <w:rFonts w:ascii="Times New Roman" w:hAnsi="Times New Roman" w:cs="Times New Roman"/>
          <w:sz w:val="24"/>
          <w:szCs w:val="24"/>
        </w:rPr>
        <w:t xml:space="preserve"> </w:t>
      </w:r>
      <w:r w:rsidR="00EE24BD" w:rsidRPr="00EE24BD">
        <w:rPr>
          <w:rFonts w:ascii="Times New Roman" w:hAnsi="Times New Roman" w:cs="Times New Roman"/>
          <w:b/>
          <w:bCs/>
          <w:sz w:val="24"/>
          <w:szCs w:val="24"/>
        </w:rPr>
        <w:t>„Zakup fabrycznie nowego samochodu do przewozu osób, w tym osób niepełnosprawnych”</w:t>
      </w:r>
      <w:r w:rsidR="00EE24B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6B2CEF9" w14:textId="77777777" w:rsidR="000F69B6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4BB2D67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>ustawy Pzp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C9A780" w14:textId="77777777" w:rsidR="001B0F42" w:rsidRPr="0065424B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>ustawy Pzp</w:t>
      </w:r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622BC698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>ustawy Pzp,</w:t>
      </w:r>
    </w:p>
    <w:p w14:paraId="446EA10A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6324E515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975386A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4101EF8F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02500B82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53D62370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591A55C8" w14:textId="77777777" w:rsid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9BF2F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</w:t>
      </w:r>
      <w:r w:rsidR="000E581E" w:rsidRPr="001B0F42">
        <w:rPr>
          <w:rFonts w:ascii="Times New Roman" w:hAnsi="Times New Roman" w:cs="Times New Roman"/>
          <w:sz w:val="24"/>
          <w:szCs w:val="24"/>
        </w:rPr>
        <w:lastRenderedPageBreak/>
        <w:t>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28084CA3" w14:textId="77777777" w:rsidR="001B0F42" w:rsidRDefault="000E581E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>ustawą Pzp</w:t>
      </w:r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170C588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709"/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56D4B6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242B2FF2" w14:textId="77777777" w:rsidR="00F20518" w:rsidRDefault="001B0F42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27DB2AFC" w14:textId="77777777" w:rsid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1E0CD7BF" w14:textId="77777777" w:rsidR="000E581E" w:rsidRP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DBD77D3" w14:textId="77777777" w:rsidR="00BF668C" w:rsidRDefault="00BF66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AAD7C2" w14:textId="77777777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6D23FBED" w14:textId="77777777" w:rsidR="00846B1C" w:rsidRDefault="00F54697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188493C2" w14:textId="77777777" w:rsidR="00057723" w:rsidRDefault="008A41C5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Pzp.</w:t>
      </w:r>
    </w:p>
    <w:p w14:paraId="3125393E" w14:textId="77777777" w:rsidR="00846B1C" w:rsidRDefault="00846B1C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>informacji zawartych w oświadczeniu składanym na podstawie art.125.1 ustawy Pzp.</w:t>
      </w:r>
    </w:p>
    <w:p w14:paraId="7C11C91A" w14:textId="77777777" w:rsidR="007B231C" w:rsidRDefault="007B231C" w:rsidP="007B231C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FF1F5F">
        <w:rPr>
          <w:rFonts w:ascii="Times New Roman" w:hAnsi="Times New Roman" w:cs="Times New Roman"/>
          <w:sz w:val="24"/>
          <w:szCs w:val="24"/>
        </w:rPr>
        <w:t>Wzór oświadczenia podwykonawstwa.</w:t>
      </w:r>
    </w:p>
    <w:p w14:paraId="515CD285" w14:textId="77777777" w:rsidR="002C62F0" w:rsidRDefault="00532BEA" w:rsidP="002C62F0">
      <w:p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62F0" w:rsidRPr="002C62F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Wykonawcy o braku podstaw wykluczenia na podstawie art. 7 ust. 1 ustawy z dnia 13 kwietnia 2022 r. o szczególnych rozwiązaniach w zakresie przeciwdziałania wspieraniu agresji na Ukrainę oraz służących ochronie bezpieczeństwa narodowego.</w:t>
      </w:r>
    </w:p>
    <w:p w14:paraId="71051DB1" w14:textId="77777777" w:rsidR="0001728C" w:rsidRDefault="007F179C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C62F0">
        <w:rPr>
          <w:rFonts w:ascii="Times New Roman" w:hAnsi="Times New Roman" w:cs="Times New Roman"/>
          <w:sz w:val="24"/>
          <w:szCs w:val="24"/>
        </w:rPr>
        <w:t>n</w:t>
      </w:r>
      <w:r w:rsidRPr="007F179C">
        <w:rPr>
          <w:rFonts w:ascii="Times New Roman" w:hAnsi="Times New Roman" w:cs="Times New Roman"/>
          <w:sz w:val="24"/>
          <w:szCs w:val="24"/>
        </w:rPr>
        <w:t xml:space="preserve">r </w:t>
      </w:r>
      <w:r w:rsidR="007B231C">
        <w:rPr>
          <w:rFonts w:ascii="Times New Roman" w:hAnsi="Times New Roman" w:cs="Times New Roman"/>
          <w:sz w:val="24"/>
          <w:szCs w:val="24"/>
        </w:rPr>
        <w:t>6</w:t>
      </w:r>
      <w:r w:rsidRPr="007F179C">
        <w:rPr>
          <w:rFonts w:ascii="Times New Roman" w:hAnsi="Times New Roman" w:cs="Times New Roman"/>
          <w:sz w:val="24"/>
          <w:szCs w:val="24"/>
        </w:rPr>
        <w:t xml:space="preserve"> - </w:t>
      </w:r>
      <w:r w:rsidR="0001728C">
        <w:rPr>
          <w:rFonts w:ascii="Times New Roman" w:hAnsi="Times New Roman" w:cs="Times New Roman"/>
          <w:sz w:val="24"/>
          <w:szCs w:val="24"/>
        </w:rPr>
        <w:t>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 w:rsidR="0001728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6C510649" w14:textId="77777777" w:rsidR="000476F6" w:rsidRDefault="00FF1F5F" w:rsidP="000476F6">
      <w:pPr>
        <w:spacing w:after="0"/>
        <w:ind w:left="107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– </w:t>
      </w:r>
      <w:r w:rsidR="000476F6" w:rsidRPr="000476F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Specyfikacja techniczna</w:t>
      </w:r>
      <w:r w:rsidR="0043129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7B6B0970" w14:textId="77777777" w:rsidR="00057723" w:rsidRPr="00FB4A19" w:rsidRDefault="00057723" w:rsidP="0043129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75083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701E" w14:textId="77777777" w:rsidR="006162EF" w:rsidRDefault="006162EF" w:rsidP="002F7E9B">
      <w:pPr>
        <w:spacing w:after="0" w:line="240" w:lineRule="auto"/>
      </w:pPr>
      <w:r>
        <w:separator/>
      </w:r>
    </w:p>
  </w:endnote>
  <w:endnote w:type="continuationSeparator" w:id="0">
    <w:p w14:paraId="4238C8F8" w14:textId="77777777" w:rsidR="006162EF" w:rsidRDefault="006162EF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A8B4" w14:textId="77777777" w:rsidR="00656324" w:rsidRDefault="00656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1377"/>
      <w:docPartObj>
        <w:docPartGallery w:val="Page Numbers (Bottom of Page)"/>
        <w:docPartUnique/>
      </w:docPartObj>
    </w:sdtPr>
    <w:sdtContent>
      <w:p w14:paraId="14AF5756" w14:textId="77777777" w:rsidR="00656324" w:rsidRDefault="00656324">
        <w:pPr>
          <w:pStyle w:val="Stopka"/>
          <w:jc w:val="right"/>
        </w:pPr>
      </w:p>
      <w:p w14:paraId="25B62D4D" w14:textId="77777777" w:rsidR="00656324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49925" w14:textId="77777777" w:rsidR="00656324" w:rsidRDefault="006563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B0DE" w14:textId="77777777" w:rsidR="00656324" w:rsidRDefault="00656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1E71" w14:textId="77777777" w:rsidR="006162EF" w:rsidRDefault="006162EF" w:rsidP="002F7E9B">
      <w:pPr>
        <w:spacing w:after="0" w:line="240" w:lineRule="auto"/>
      </w:pPr>
      <w:r>
        <w:separator/>
      </w:r>
    </w:p>
  </w:footnote>
  <w:footnote w:type="continuationSeparator" w:id="0">
    <w:p w14:paraId="464A94E7" w14:textId="77777777" w:rsidR="006162EF" w:rsidRDefault="006162EF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E34F" w14:textId="77777777" w:rsidR="00656324" w:rsidRDefault="00656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991B" w14:textId="77777777" w:rsidR="00656324" w:rsidRDefault="006563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783B" w14:textId="77777777" w:rsidR="00656324" w:rsidRPr="004B6BC2" w:rsidRDefault="00656324" w:rsidP="00FA6E2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2770D3"/>
    <w:multiLevelType w:val="hybridMultilevel"/>
    <w:tmpl w:val="47061716"/>
    <w:lvl w:ilvl="0" w:tplc="ED464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FE265C"/>
    <w:multiLevelType w:val="hybridMultilevel"/>
    <w:tmpl w:val="8D821FAC"/>
    <w:lvl w:ilvl="0" w:tplc="93F45CE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3292F"/>
    <w:multiLevelType w:val="hybridMultilevel"/>
    <w:tmpl w:val="40380DF2"/>
    <w:lvl w:ilvl="0" w:tplc="FA3462C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43975"/>
    <w:multiLevelType w:val="multilevel"/>
    <w:tmpl w:val="6A44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1E71D9D"/>
    <w:multiLevelType w:val="hybridMultilevel"/>
    <w:tmpl w:val="BAFE4A0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CC72E5"/>
    <w:multiLevelType w:val="hybridMultilevel"/>
    <w:tmpl w:val="F63E38F0"/>
    <w:lvl w:ilvl="0" w:tplc="D13680D2">
      <w:start w:val="5"/>
      <w:numFmt w:val="decimal"/>
      <w:lvlText w:val="%1)"/>
      <w:lvlJc w:val="left"/>
      <w:pPr>
        <w:ind w:left="9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4FD43A9"/>
    <w:multiLevelType w:val="hybridMultilevel"/>
    <w:tmpl w:val="37148C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7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20481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67894979"/>
    <w:multiLevelType w:val="hybridMultilevel"/>
    <w:tmpl w:val="F11EB3D8"/>
    <w:lvl w:ilvl="0" w:tplc="643CA616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416980082">
    <w:abstractNumId w:val="17"/>
  </w:num>
  <w:num w:numId="2" w16cid:durableId="2078092103">
    <w:abstractNumId w:val="39"/>
  </w:num>
  <w:num w:numId="3" w16cid:durableId="1162964979">
    <w:abstractNumId w:val="7"/>
  </w:num>
  <w:num w:numId="4" w16cid:durableId="61610625">
    <w:abstractNumId w:val="4"/>
  </w:num>
  <w:num w:numId="5" w16cid:durableId="1779637355">
    <w:abstractNumId w:val="5"/>
  </w:num>
  <w:num w:numId="6" w16cid:durableId="1637252041">
    <w:abstractNumId w:val="29"/>
  </w:num>
  <w:num w:numId="7" w16cid:durableId="561674163">
    <w:abstractNumId w:val="33"/>
  </w:num>
  <w:num w:numId="8" w16cid:durableId="399600150">
    <w:abstractNumId w:val="32"/>
  </w:num>
  <w:num w:numId="9" w16cid:durableId="842548922">
    <w:abstractNumId w:val="35"/>
  </w:num>
  <w:num w:numId="10" w16cid:durableId="2079741383">
    <w:abstractNumId w:val="47"/>
  </w:num>
  <w:num w:numId="11" w16cid:durableId="464275950">
    <w:abstractNumId w:val="2"/>
  </w:num>
  <w:num w:numId="12" w16cid:durableId="626668868">
    <w:abstractNumId w:val="27"/>
  </w:num>
  <w:num w:numId="13" w16cid:durableId="1432583574">
    <w:abstractNumId w:val="44"/>
  </w:num>
  <w:num w:numId="14" w16cid:durableId="2077820807">
    <w:abstractNumId w:val="34"/>
  </w:num>
  <w:num w:numId="15" w16cid:durableId="1479348153">
    <w:abstractNumId w:val="14"/>
  </w:num>
  <w:num w:numId="16" w16cid:durableId="735593641">
    <w:abstractNumId w:val="21"/>
  </w:num>
  <w:num w:numId="17" w16cid:durableId="303970712">
    <w:abstractNumId w:val="41"/>
  </w:num>
  <w:num w:numId="18" w16cid:durableId="1513569306">
    <w:abstractNumId w:val="37"/>
  </w:num>
  <w:num w:numId="19" w16cid:durableId="1898855375">
    <w:abstractNumId w:val="31"/>
  </w:num>
  <w:num w:numId="20" w16cid:durableId="195125767">
    <w:abstractNumId w:val="24"/>
  </w:num>
  <w:num w:numId="21" w16cid:durableId="1052468">
    <w:abstractNumId w:val="13"/>
  </w:num>
  <w:num w:numId="22" w16cid:durableId="1014763680">
    <w:abstractNumId w:val="19"/>
  </w:num>
  <w:num w:numId="23" w16cid:durableId="960303350">
    <w:abstractNumId w:val="48"/>
  </w:num>
  <w:num w:numId="24" w16cid:durableId="500387543">
    <w:abstractNumId w:val="3"/>
  </w:num>
  <w:num w:numId="25" w16cid:durableId="1684896937">
    <w:abstractNumId w:val="36"/>
  </w:num>
  <w:num w:numId="26" w16cid:durableId="491217781">
    <w:abstractNumId w:val="18"/>
  </w:num>
  <w:num w:numId="27" w16cid:durableId="624428307">
    <w:abstractNumId w:val="8"/>
  </w:num>
  <w:num w:numId="28" w16cid:durableId="1623926023">
    <w:abstractNumId w:val="6"/>
  </w:num>
  <w:num w:numId="29" w16cid:durableId="981152658">
    <w:abstractNumId w:val="22"/>
  </w:num>
  <w:num w:numId="30" w16cid:durableId="1399203198">
    <w:abstractNumId w:val="0"/>
  </w:num>
  <w:num w:numId="31" w16cid:durableId="1667785462">
    <w:abstractNumId w:val="25"/>
  </w:num>
  <w:num w:numId="32" w16cid:durableId="1328827281">
    <w:abstractNumId w:val="15"/>
  </w:num>
  <w:num w:numId="33" w16cid:durableId="1845901441">
    <w:abstractNumId w:val="28"/>
  </w:num>
  <w:num w:numId="34" w16cid:durableId="2146386681">
    <w:abstractNumId w:val="42"/>
  </w:num>
  <w:num w:numId="35" w16cid:durableId="822695389">
    <w:abstractNumId w:val="23"/>
  </w:num>
  <w:num w:numId="36" w16cid:durableId="2058317912">
    <w:abstractNumId w:val="20"/>
  </w:num>
  <w:num w:numId="37" w16cid:durableId="946936130">
    <w:abstractNumId w:val="46"/>
  </w:num>
  <w:num w:numId="38" w16cid:durableId="1728140573">
    <w:abstractNumId w:val="50"/>
  </w:num>
  <w:num w:numId="39" w16cid:durableId="2100178776">
    <w:abstractNumId w:val="11"/>
  </w:num>
  <w:num w:numId="40" w16cid:durableId="1296791044">
    <w:abstractNumId w:val="52"/>
  </w:num>
  <w:num w:numId="41" w16cid:durableId="1688172271">
    <w:abstractNumId w:val="16"/>
  </w:num>
  <w:num w:numId="42" w16cid:durableId="686714589">
    <w:abstractNumId w:val="49"/>
  </w:num>
  <w:num w:numId="43" w16cid:durableId="17395191">
    <w:abstractNumId w:val="51"/>
  </w:num>
  <w:num w:numId="44" w16cid:durableId="905452382">
    <w:abstractNumId w:val="45"/>
  </w:num>
  <w:num w:numId="45" w16cid:durableId="32703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47814960">
    <w:abstractNumId w:val="9"/>
  </w:num>
  <w:num w:numId="47" w16cid:durableId="1729692456">
    <w:abstractNumId w:val="26"/>
  </w:num>
  <w:num w:numId="48" w16cid:durableId="301154355">
    <w:abstractNumId w:val="12"/>
  </w:num>
  <w:num w:numId="49" w16cid:durableId="1201014564">
    <w:abstractNumId w:val="40"/>
  </w:num>
  <w:num w:numId="50" w16cid:durableId="1830250039">
    <w:abstractNumId w:val="38"/>
  </w:num>
  <w:num w:numId="51" w16cid:durableId="2014523569">
    <w:abstractNumId w:val="30"/>
  </w:num>
  <w:num w:numId="52" w16cid:durableId="614798143">
    <w:abstractNumId w:val="10"/>
  </w:num>
  <w:num w:numId="53" w16cid:durableId="1951431934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186F"/>
    <w:rsid w:val="00022A48"/>
    <w:rsid w:val="000233EB"/>
    <w:rsid w:val="00026976"/>
    <w:rsid w:val="00030032"/>
    <w:rsid w:val="0003019D"/>
    <w:rsid w:val="00030D73"/>
    <w:rsid w:val="000323DC"/>
    <w:rsid w:val="000328F3"/>
    <w:rsid w:val="000341BC"/>
    <w:rsid w:val="00034489"/>
    <w:rsid w:val="00035FF9"/>
    <w:rsid w:val="000376C9"/>
    <w:rsid w:val="00037F2E"/>
    <w:rsid w:val="000433D1"/>
    <w:rsid w:val="00045C7E"/>
    <w:rsid w:val="000466E1"/>
    <w:rsid w:val="000476F6"/>
    <w:rsid w:val="00050B3B"/>
    <w:rsid w:val="00051A73"/>
    <w:rsid w:val="0005221E"/>
    <w:rsid w:val="00054700"/>
    <w:rsid w:val="00054C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0E60"/>
    <w:rsid w:val="00092164"/>
    <w:rsid w:val="00092276"/>
    <w:rsid w:val="000A15E1"/>
    <w:rsid w:val="000A2719"/>
    <w:rsid w:val="000B23FD"/>
    <w:rsid w:val="000B340B"/>
    <w:rsid w:val="000B3C45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1BF7"/>
    <w:rsid w:val="000E581E"/>
    <w:rsid w:val="000E589D"/>
    <w:rsid w:val="000F0AAB"/>
    <w:rsid w:val="000F3A09"/>
    <w:rsid w:val="000F3C5A"/>
    <w:rsid w:val="000F41B4"/>
    <w:rsid w:val="000F5BE9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721"/>
    <w:rsid w:val="00120EA3"/>
    <w:rsid w:val="00123A26"/>
    <w:rsid w:val="00124146"/>
    <w:rsid w:val="00124A45"/>
    <w:rsid w:val="001254B3"/>
    <w:rsid w:val="00126A69"/>
    <w:rsid w:val="00127069"/>
    <w:rsid w:val="00130163"/>
    <w:rsid w:val="00134323"/>
    <w:rsid w:val="001357A0"/>
    <w:rsid w:val="001379D9"/>
    <w:rsid w:val="001433F5"/>
    <w:rsid w:val="00150E76"/>
    <w:rsid w:val="00151290"/>
    <w:rsid w:val="00151ED8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5FF"/>
    <w:rsid w:val="00174C95"/>
    <w:rsid w:val="00175315"/>
    <w:rsid w:val="00175ADE"/>
    <w:rsid w:val="0017634C"/>
    <w:rsid w:val="00190B54"/>
    <w:rsid w:val="00192D09"/>
    <w:rsid w:val="001958C8"/>
    <w:rsid w:val="00196E05"/>
    <w:rsid w:val="00197151"/>
    <w:rsid w:val="00197BDB"/>
    <w:rsid w:val="00197FDD"/>
    <w:rsid w:val="001A094B"/>
    <w:rsid w:val="001A0E66"/>
    <w:rsid w:val="001A2D8D"/>
    <w:rsid w:val="001A47FE"/>
    <w:rsid w:val="001A49BD"/>
    <w:rsid w:val="001A4CBD"/>
    <w:rsid w:val="001B0F42"/>
    <w:rsid w:val="001B3A90"/>
    <w:rsid w:val="001B3D47"/>
    <w:rsid w:val="001B4858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0116"/>
    <w:rsid w:val="001D59CD"/>
    <w:rsid w:val="001D7EEE"/>
    <w:rsid w:val="001D7F42"/>
    <w:rsid w:val="001E0880"/>
    <w:rsid w:val="001E0CDA"/>
    <w:rsid w:val="001E1DEC"/>
    <w:rsid w:val="001E7C60"/>
    <w:rsid w:val="001E7D11"/>
    <w:rsid w:val="001F1DF1"/>
    <w:rsid w:val="001F289F"/>
    <w:rsid w:val="001F2BF6"/>
    <w:rsid w:val="001F5215"/>
    <w:rsid w:val="001F58E4"/>
    <w:rsid w:val="002004E7"/>
    <w:rsid w:val="00201F97"/>
    <w:rsid w:val="00204071"/>
    <w:rsid w:val="002054D6"/>
    <w:rsid w:val="00210C9B"/>
    <w:rsid w:val="002138DA"/>
    <w:rsid w:val="00214305"/>
    <w:rsid w:val="00216207"/>
    <w:rsid w:val="002244AB"/>
    <w:rsid w:val="00226015"/>
    <w:rsid w:val="002263A4"/>
    <w:rsid w:val="0022723F"/>
    <w:rsid w:val="00231255"/>
    <w:rsid w:val="0023256B"/>
    <w:rsid w:val="00235A3B"/>
    <w:rsid w:val="0023619D"/>
    <w:rsid w:val="0024077F"/>
    <w:rsid w:val="00240D36"/>
    <w:rsid w:val="00244BDA"/>
    <w:rsid w:val="0024529A"/>
    <w:rsid w:val="00245561"/>
    <w:rsid w:val="00247B22"/>
    <w:rsid w:val="00256E09"/>
    <w:rsid w:val="00257A6B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A1"/>
    <w:rsid w:val="002808B6"/>
    <w:rsid w:val="00280950"/>
    <w:rsid w:val="00281CB8"/>
    <w:rsid w:val="00282417"/>
    <w:rsid w:val="002842B7"/>
    <w:rsid w:val="00284E3F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D7CC4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057D0"/>
    <w:rsid w:val="003077AB"/>
    <w:rsid w:val="00311962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37FF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56E6"/>
    <w:rsid w:val="00345C36"/>
    <w:rsid w:val="003464F9"/>
    <w:rsid w:val="00347A29"/>
    <w:rsid w:val="0035109C"/>
    <w:rsid w:val="003540FA"/>
    <w:rsid w:val="00356253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23E"/>
    <w:rsid w:val="003965AE"/>
    <w:rsid w:val="003977D2"/>
    <w:rsid w:val="003A05A9"/>
    <w:rsid w:val="003A0F5F"/>
    <w:rsid w:val="003A102B"/>
    <w:rsid w:val="003A2D3F"/>
    <w:rsid w:val="003A5EF5"/>
    <w:rsid w:val="003A6F51"/>
    <w:rsid w:val="003A7C78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0B55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276F1"/>
    <w:rsid w:val="00430191"/>
    <w:rsid w:val="00431290"/>
    <w:rsid w:val="004315AB"/>
    <w:rsid w:val="004315D4"/>
    <w:rsid w:val="0043306B"/>
    <w:rsid w:val="00433390"/>
    <w:rsid w:val="00436186"/>
    <w:rsid w:val="00436D45"/>
    <w:rsid w:val="00437CE3"/>
    <w:rsid w:val="00445B0A"/>
    <w:rsid w:val="004460FA"/>
    <w:rsid w:val="00446D46"/>
    <w:rsid w:val="00450594"/>
    <w:rsid w:val="00451A17"/>
    <w:rsid w:val="004522C2"/>
    <w:rsid w:val="004528CE"/>
    <w:rsid w:val="004540FE"/>
    <w:rsid w:val="004575B8"/>
    <w:rsid w:val="00457EEF"/>
    <w:rsid w:val="0046251B"/>
    <w:rsid w:val="00465558"/>
    <w:rsid w:val="004702A4"/>
    <w:rsid w:val="004724B0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A79A7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534E"/>
    <w:rsid w:val="004D7CBB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2A4"/>
    <w:rsid w:val="0050064A"/>
    <w:rsid w:val="00500957"/>
    <w:rsid w:val="00501E10"/>
    <w:rsid w:val="005024EE"/>
    <w:rsid w:val="00504CDE"/>
    <w:rsid w:val="005057B1"/>
    <w:rsid w:val="00510398"/>
    <w:rsid w:val="00510879"/>
    <w:rsid w:val="005134DE"/>
    <w:rsid w:val="00513AA4"/>
    <w:rsid w:val="00513D11"/>
    <w:rsid w:val="00514BF9"/>
    <w:rsid w:val="00516F9E"/>
    <w:rsid w:val="005173BC"/>
    <w:rsid w:val="0052172F"/>
    <w:rsid w:val="00521C3F"/>
    <w:rsid w:val="00523CAD"/>
    <w:rsid w:val="00524F1E"/>
    <w:rsid w:val="0052528A"/>
    <w:rsid w:val="0052790A"/>
    <w:rsid w:val="00527E45"/>
    <w:rsid w:val="00532062"/>
    <w:rsid w:val="00532BA5"/>
    <w:rsid w:val="00532BEA"/>
    <w:rsid w:val="00532CC0"/>
    <w:rsid w:val="005335B1"/>
    <w:rsid w:val="00533E9D"/>
    <w:rsid w:val="005355F6"/>
    <w:rsid w:val="005357A3"/>
    <w:rsid w:val="0054263F"/>
    <w:rsid w:val="0054274F"/>
    <w:rsid w:val="005428A8"/>
    <w:rsid w:val="005472C8"/>
    <w:rsid w:val="00550877"/>
    <w:rsid w:val="00551055"/>
    <w:rsid w:val="005522FC"/>
    <w:rsid w:val="00556ED8"/>
    <w:rsid w:val="00557F1C"/>
    <w:rsid w:val="005608F7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4C91"/>
    <w:rsid w:val="005951BF"/>
    <w:rsid w:val="005972CA"/>
    <w:rsid w:val="00597581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35F0"/>
    <w:rsid w:val="005C4715"/>
    <w:rsid w:val="005C656A"/>
    <w:rsid w:val="005D1A8D"/>
    <w:rsid w:val="005D1B23"/>
    <w:rsid w:val="005D3891"/>
    <w:rsid w:val="005D48E1"/>
    <w:rsid w:val="005D6EB4"/>
    <w:rsid w:val="005E2AB2"/>
    <w:rsid w:val="005E4ADD"/>
    <w:rsid w:val="005F0395"/>
    <w:rsid w:val="005F502C"/>
    <w:rsid w:val="005F647E"/>
    <w:rsid w:val="005F7E9E"/>
    <w:rsid w:val="006004EB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2EF"/>
    <w:rsid w:val="006165FB"/>
    <w:rsid w:val="00616F7C"/>
    <w:rsid w:val="006176BF"/>
    <w:rsid w:val="00617DF2"/>
    <w:rsid w:val="00621484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324"/>
    <w:rsid w:val="00656E88"/>
    <w:rsid w:val="00656F2A"/>
    <w:rsid w:val="00657C81"/>
    <w:rsid w:val="00660A1E"/>
    <w:rsid w:val="00660AFC"/>
    <w:rsid w:val="00664E86"/>
    <w:rsid w:val="00667BBA"/>
    <w:rsid w:val="006700EC"/>
    <w:rsid w:val="00671D1D"/>
    <w:rsid w:val="00683367"/>
    <w:rsid w:val="00684A7E"/>
    <w:rsid w:val="00684D78"/>
    <w:rsid w:val="0068531F"/>
    <w:rsid w:val="006876C8"/>
    <w:rsid w:val="00687DA9"/>
    <w:rsid w:val="006903D0"/>
    <w:rsid w:val="006922D1"/>
    <w:rsid w:val="00693AE8"/>
    <w:rsid w:val="00693FE0"/>
    <w:rsid w:val="0069647C"/>
    <w:rsid w:val="00696FC3"/>
    <w:rsid w:val="006A1219"/>
    <w:rsid w:val="006A32C3"/>
    <w:rsid w:val="006A5509"/>
    <w:rsid w:val="006A66A8"/>
    <w:rsid w:val="006B0A8B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358F"/>
    <w:rsid w:val="006D47E9"/>
    <w:rsid w:val="006D5F1F"/>
    <w:rsid w:val="006D6A6D"/>
    <w:rsid w:val="006E016C"/>
    <w:rsid w:val="006E0EF3"/>
    <w:rsid w:val="006E1031"/>
    <w:rsid w:val="006E3C91"/>
    <w:rsid w:val="006F0282"/>
    <w:rsid w:val="006F10F9"/>
    <w:rsid w:val="006F176C"/>
    <w:rsid w:val="006F1F07"/>
    <w:rsid w:val="006F2710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B0B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0833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08D"/>
    <w:rsid w:val="00774654"/>
    <w:rsid w:val="00777976"/>
    <w:rsid w:val="0078038A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136E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19BD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422DE"/>
    <w:rsid w:val="00843259"/>
    <w:rsid w:val="00846B1C"/>
    <w:rsid w:val="008479C2"/>
    <w:rsid w:val="00851A54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8642B"/>
    <w:rsid w:val="00891DAD"/>
    <w:rsid w:val="00893E7B"/>
    <w:rsid w:val="00894CD1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58C1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549B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902026"/>
    <w:rsid w:val="00902E8F"/>
    <w:rsid w:val="00905ACE"/>
    <w:rsid w:val="00906155"/>
    <w:rsid w:val="00910195"/>
    <w:rsid w:val="00915455"/>
    <w:rsid w:val="0091590C"/>
    <w:rsid w:val="00915B84"/>
    <w:rsid w:val="00916AFC"/>
    <w:rsid w:val="00916DA6"/>
    <w:rsid w:val="00922B9C"/>
    <w:rsid w:val="00922EFE"/>
    <w:rsid w:val="00923F6A"/>
    <w:rsid w:val="0092500C"/>
    <w:rsid w:val="009262B6"/>
    <w:rsid w:val="00926B0A"/>
    <w:rsid w:val="00926D7E"/>
    <w:rsid w:val="009271FE"/>
    <w:rsid w:val="00927428"/>
    <w:rsid w:val="009301AA"/>
    <w:rsid w:val="00930989"/>
    <w:rsid w:val="009370E0"/>
    <w:rsid w:val="00937A23"/>
    <w:rsid w:val="00941BB7"/>
    <w:rsid w:val="00943617"/>
    <w:rsid w:val="009520B2"/>
    <w:rsid w:val="00952FC1"/>
    <w:rsid w:val="00953045"/>
    <w:rsid w:val="00955C61"/>
    <w:rsid w:val="00960709"/>
    <w:rsid w:val="00960FF5"/>
    <w:rsid w:val="00961FCD"/>
    <w:rsid w:val="009651F4"/>
    <w:rsid w:val="00965545"/>
    <w:rsid w:val="009673F3"/>
    <w:rsid w:val="009836CE"/>
    <w:rsid w:val="00984A74"/>
    <w:rsid w:val="009854FA"/>
    <w:rsid w:val="0098702C"/>
    <w:rsid w:val="00991CE4"/>
    <w:rsid w:val="00992497"/>
    <w:rsid w:val="009931E1"/>
    <w:rsid w:val="009933F8"/>
    <w:rsid w:val="009A0C0A"/>
    <w:rsid w:val="009A17A6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2CF"/>
    <w:rsid w:val="009F3879"/>
    <w:rsid w:val="009F43A7"/>
    <w:rsid w:val="009F5122"/>
    <w:rsid w:val="009F514E"/>
    <w:rsid w:val="009F683E"/>
    <w:rsid w:val="009F710F"/>
    <w:rsid w:val="009F72F7"/>
    <w:rsid w:val="009F7D3A"/>
    <w:rsid w:val="00A00EE6"/>
    <w:rsid w:val="00A01400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116"/>
    <w:rsid w:val="00A74EB9"/>
    <w:rsid w:val="00A76C5B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4D57"/>
    <w:rsid w:val="00AA500F"/>
    <w:rsid w:val="00AA55C6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4A44"/>
    <w:rsid w:val="00AC7C6A"/>
    <w:rsid w:val="00AD0F7D"/>
    <w:rsid w:val="00AD18D5"/>
    <w:rsid w:val="00AD2E20"/>
    <w:rsid w:val="00AD2FD9"/>
    <w:rsid w:val="00AD3200"/>
    <w:rsid w:val="00AD663A"/>
    <w:rsid w:val="00AD7C5B"/>
    <w:rsid w:val="00AE32A4"/>
    <w:rsid w:val="00AE4979"/>
    <w:rsid w:val="00AE619B"/>
    <w:rsid w:val="00AE6FBF"/>
    <w:rsid w:val="00AE7BE9"/>
    <w:rsid w:val="00AF25CC"/>
    <w:rsid w:val="00AF383C"/>
    <w:rsid w:val="00AF3AD1"/>
    <w:rsid w:val="00AF5C40"/>
    <w:rsid w:val="00AF6495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6E5B"/>
    <w:rsid w:val="00B27FD8"/>
    <w:rsid w:val="00B3132E"/>
    <w:rsid w:val="00B36712"/>
    <w:rsid w:val="00B40920"/>
    <w:rsid w:val="00B40ED4"/>
    <w:rsid w:val="00B414AD"/>
    <w:rsid w:val="00B51E6A"/>
    <w:rsid w:val="00B55940"/>
    <w:rsid w:val="00B55EBB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767A1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2651"/>
    <w:rsid w:val="00BA3F21"/>
    <w:rsid w:val="00BA4117"/>
    <w:rsid w:val="00BA4EA8"/>
    <w:rsid w:val="00BA7710"/>
    <w:rsid w:val="00BB06AC"/>
    <w:rsid w:val="00BB3279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D7C91"/>
    <w:rsid w:val="00BE0138"/>
    <w:rsid w:val="00BE03EB"/>
    <w:rsid w:val="00BE0F3F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1640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33B9"/>
    <w:rsid w:val="00C53CFC"/>
    <w:rsid w:val="00C551CC"/>
    <w:rsid w:val="00C566E5"/>
    <w:rsid w:val="00C577A7"/>
    <w:rsid w:val="00C62CBE"/>
    <w:rsid w:val="00C64722"/>
    <w:rsid w:val="00C65A47"/>
    <w:rsid w:val="00C662B9"/>
    <w:rsid w:val="00C66338"/>
    <w:rsid w:val="00C673F4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5A17"/>
    <w:rsid w:val="00CB6832"/>
    <w:rsid w:val="00CC03A9"/>
    <w:rsid w:val="00CC0A2C"/>
    <w:rsid w:val="00CC3505"/>
    <w:rsid w:val="00CC459E"/>
    <w:rsid w:val="00CC4D31"/>
    <w:rsid w:val="00CC5D52"/>
    <w:rsid w:val="00CD209E"/>
    <w:rsid w:val="00CD23AC"/>
    <w:rsid w:val="00CD4617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0729"/>
    <w:rsid w:val="00D01DE1"/>
    <w:rsid w:val="00D0453D"/>
    <w:rsid w:val="00D04B4F"/>
    <w:rsid w:val="00D05B81"/>
    <w:rsid w:val="00D10E3E"/>
    <w:rsid w:val="00D155CC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476F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C5A7A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6EE5"/>
    <w:rsid w:val="00DF710F"/>
    <w:rsid w:val="00E00996"/>
    <w:rsid w:val="00E02240"/>
    <w:rsid w:val="00E0380A"/>
    <w:rsid w:val="00E03A30"/>
    <w:rsid w:val="00E06F3E"/>
    <w:rsid w:val="00E10AB0"/>
    <w:rsid w:val="00E12F81"/>
    <w:rsid w:val="00E16A82"/>
    <w:rsid w:val="00E16F34"/>
    <w:rsid w:val="00E174E9"/>
    <w:rsid w:val="00E17D34"/>
    <w:rsid w:val="00E2456E"/>
    <w:rsid w:val="00E269B6"/>
    <w:rsid w:val="00E27754"/>
    <w:rsid w:val="00E27DCE"/>
    <w:rsid w:val="00E35E9B"/>
    <w:rsid w:val="00E3746D"/>
    <w:rsid w:val="00E37E3E"/>
    <w:rsid w:val="00E4334A"/>
    <w:rsid w:val="00E455E6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66365"/>
    <w:rsid w:val="00E71430"/>
    <w:rsid w:val="00E7191B"/>
    <w:rsid w:val="00E71C91"/>
    <w:rsid w:val="00E7599F"/>
    <w:rsid w:val="00E75EFF"/>
    <w:rsid w:val="00E80BA4"/>
    <w:rsid w:val="00E820C2"/>
    <w:rsid w:val="00E83350"/>
    <w:rsid w:val="00E83388"/>
    <w:rsid w:val="00E83B92"/>
    <w:rsid w:val="00E85769"/>
    <w:rsid w:val="00E90A7E"/>
    <w:rsid w:val="00E91D87"/>
    <w:rsid w:val="00E91DD5"/>
    <w:rsid w:val="00E94807"/>
    <w:rsid w:val="00E95195"/>
    <w:rsid w:val="00E951B3"/>
    <w:rsid w:val="00E9705C"/>
    <w:rsid w:val="00E977A3"/>
    <w:rsid w:val="00EA0C5C"/>
    <w:rsid w:val="00EA106B"/>
    <w:rsid w:val="00EA11E8"/>
    <w:rsid w:val="00EA14C0"/>
    <w:rsid w:val="00EA3494"/>
    <w:rsid w:val="00EA70F9"/>
    <w:rsid w:val="00EA7982"/>
    <w:rsid w:val="00EB0F89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11E9"/>
    <w:rsid w:val="00ED2720"/>
    <w:rsid w:val="00ED29C1"/>
    <w:rsid w:val="00EE24BD"/>
    <w:rsid w:val="00EE4298"/>
    <w:rsid w:val="00EF0563"/>
    <w:rsid w:val="00EF0C28"/>
    <w:rsid w:val="00EF1DBF"/>
    <w:rsid w:val="00EF25D2"/>
    <w:rsid w:val="00EF55A5"/>
    <w:rsid w:val="00EF5F1A"/>
    <w:rsid w:val="00EF7487"/>
    <w:rsid w:val="00F0265B"/>
    <w:rsid w:val="00F04B32"/>
    <w:rsid w:val="00F06046"/>
    <w:rsid w:val="00F10277"/>
    <w:rsid w:val="00F11BB5"/>
    <w:rsid w:val="00F13B84"/>
    <w:rsid w:val="00F1420A"/>
    <w:rsid w:val="00F1780F"/>
    <w:rsid w:val="00F17DD9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0B89"/>
    <w:rsid w:val="00F4433D"/>
    <w:rsid w:val="00F44399"/>
    <w:rsid w:val="00F45C3E"/>
    <w:rsid w:val="00F46444"/>
    <w:rsid w:val="00F53857"/>
    <w:rsid w:val="00F54697"/>
    <w:rsid w:val="00F54A0F"/>
    <w:rsid w:val="00F5598B"/>
    <w:rsid w:val="00F56097"/>
    <w:rsid w:val="00F61E22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2932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512"/>
    <w:rsid w:val="00FD2F75"/>
    <w:rsid w:val="00FD372E"/>
    <w:rsid w:val="00FD3DD5"/>
    <w:rsid w:val="00FD4546"/>
    <w:rsid w:val="00FE0189"/>
    <w:rsid w:val="00FE1F2B"/>
    <w:rsid w:val="00FE45E2"/>
    <w:rsid w:val="00FE61D6"/>
    <w:rsid w:val="00FE6F68"/>
    <w:rsid w:val="00FF025D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C9B57"/>
  <w15:docId w15:val="{6B891FDF-37ED-4528-9D55-63D03EB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06F4-D5BC-47EF-9FC4-C6259946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10749</Words>
  <Characters>64496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165</cp:revision>
  <cp:lastPrinted>2023-11-14T16:47:00Z</cp:lastPrinted>
  <dcterms:created xsi:type="dcterms:W3CDTF">2021-07-25T19:49:00Z</dcterms:created>
  <dcterms:modified xsi:type="dcterms:W3CDTF">2023-11-27T12:05:00Z</dcterms:modified>
</cp:coreProperties>
</file>