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944F" w14:textId="77777777" w:rsidR="00281381" w:rsidRPr="00A258D6" w:rsidRDefault="00281381" w:rsidP="00881111">
      <w:pPr>
        <w:spacing w:line="319" w:lineRule="auto"/>
        <w:jc w:val="center"/>
        <w:rPr>
          <w:rFonts w:asciiTheme="majorHAnsi" w:hAnsiTheme="majorHAnsi" w:cstheme="majorHAnsi"/>
          <w:b/>
        </w:rPr>
      </w:pP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A258D6" w:rsidRDefault="00FC4AB9" w:rsidP="00881111">
      <w:pPr>
        <w:spacing w:line="319" w:lineRule="auto"/>
        <w:jc w:val="center"/>
        <w:rPr>
          <w:rFonts w:asciiTheme="majorHAnsi" w:hAnsiTheme="majorHAnsi" w:cstheme="majorHAnsi"/>
          <w:bCs/>
        </w:rPr>
      </w:pPr>
      <w:r w:rsidRPr="00A258D6">
        <w:rPr>
          <w:rFonts w:asciiTheme="majorHAnsi" w:hAnsiTheme="majorHAnsi" w:cstheme="majorHAnsi"/>
          <w:bCs/>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77777777"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2019 r. poz. 2019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3BB57488" w14:textId="7A936CE5" w:rsidR="00B605D3" w:rsidRPr="00B605D3" w:rsidRDefault="00B605D3" w:rsidP="00B605D3">
      <w:pPr>
        <w:spacing w:line="319" w:lineRule="auto"/>
        <w:jc w:val="center"/>
        <w:rPr>
          <w:rFonts w:asciiTheme="minorHAnsi" w:eastAsia="Times New Roman" w:hAnsiTheme="minorHAnsi" w:cstheme="minorHAnsi"/>
        </w:rPr>
      </w:pPr>
      <w:r>
        <w:rPr>
          <w:rFonts w:asciiTheme="minorHAnsi" w:eastAsia="Calibri" w:hAnsiTheme="minorHAnsi" w:cstheme="minorHAnsi"/>
          <w:b/>
          <w:bCs/>
          <w:color w:val="000000"/>
        </w:rPr>
        <w:t>„</w:t>
      </w:r>
      <w:r>
        <w:rPr>
          <w:rFonts w:asciiTheme="minorHAnsi" w:eastAsia="Times New Roman" w:hAnsiTheme="minorHAnsi" w:cstheme="minorHAnsi"/>
          <w:b/>
          <w:bCs/>
        </w:rPr>
        <w:t xml:space="preserve">Skórzewo – budowa rejon ulic: Wiosenna, Jesienna, Letnia i Wakacyjna </w:t>
      </w:r>
      <w:r w:rsidRPr="00B605D3">
        <w:rPr>
          <w:rFonts w:asciiTheme="minorHAnsi" w:eastAsia="Times New Roman" w:hAnsiTheme="minorHAnsi" w:cstheme="minorHAnsi"/>
          <w:b/>
          <w:bCs/>
        </w:rPr>
        <w:t xml:space="preserve">oraz </w:t>
      </w:r>
      <w:r w:rsidRPr="009B26A9">
        <w:rPr>
          <w:rFonts w:asciiTheme="minorHAnsi" w:eastAsia="Times New Roman" w:hAnsiTheme="minorHAnsi" w:cstheme="minorHAnsi"/>
          <w:b/>
          <w:bCs/>
        </w:rPr>
        <w:t>budowa połączenia ul. Wiosennej do Jesiennej oraz Wiosennej do ul. Wierzbowej wraz z odwodnieniem”</w:t>
      </w:r>
      <w:r>
        <w:rPr>
          <w:rFonts w:asciiTheme="minorHAnsi" w:eastAsia="Times New Roman" w:hAnsiTheme="minorHAnsi" w:cstheme="minorHAnsi"/>
          <w:b/>
          <w:bCs/>
        </w:rPr>
        <w:t>.</w:t>
      </w:r>
    </w:p>
    <w:p w14:paraId="0000000F" w14:textId="028B6A2C" w:rsidR="001C5D72" w:rsidRPr="0039496C" w:rsidRDefault="001C5D72" w:rsidP="00B605D3">
      <w:pPr>
        <w:spacing w:line="319"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1"/>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1C8D634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B605D3">
        <w:rPr>
          <w:rFonts w:asciiTheme="majorHAnsi" w:hAnsiTheme="majorHAnsi" w:cstheme="majorHAnsi"/>
          <w:b/>
          <w:bCs/>
        </w:rPr>
        <w:t>3</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3A9D4755"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Zbyszko Górny - </w:t>
      </w:r>
      <w:r w:rsidRPr="00A258D6">
        <w:rPr>
          <w:rFonts w:asciiTheme="majorHAnsi" w:hAnsiTheme="majorHAnsi" w:cstheme="majorHAnsi"/>
        </w:rPr>
        <w:t>pełniący funkcję Wójta Gminy Dopiewo na podstawie art. 28f ustawy z dnia 8 marca 1990 r. o samorządzie gminnym  (</w:t>
      </w:r>
      <w:proofErr w:type="spellStart"/>
      <w:r w:rsidRPr="00A258D6">
        <w:rPr>
          <w:rFonts w:asciiTheme="majorHAnsi" w:hAnsiTheme="majorHAnsi" w:cstheme="majorHAnsi"/>
        </w:rPr>
        <w:t>t.j</w:t>
      </w:r>
      <w:proofErr w:type="spellEnd"/>
      <w:r w:rsidRPr="00A258D6">
        <w:rPr>
          <w:rFonts w:asciiTheme="majorHAnsi" w:hAnsiTheme="majorHAnsi" w:cstheme="majorHAnsi"/>
        </w:rPr>
        <w:t>. Dz. U. z 2020 r., poz. 713 ze zm.).</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75659935" w:rsidR="00541386" w:rsidRPr="00B605D3" w:rsidRDefault="008664B0" w:rsidP="00096CC1">
      <w:pPr>
        <w:spacing w:line="319" w:lineRule="auto"/>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B763C0" w:rsidRPr="00A258D6">
        <w:rPr>
          <w:rFonts w:asciiTheme="majorHAnsi" w:eastAsia="Times New Roman" w:hAnsiTheme="majorHAnsi" w:cstheme="majorHAnsi"/>
          <w:b/>
          <w:bCs/>
        </w:rPr>
        <w:t>3</w:t>
      </w:r>
      <w:r w:rsidRPr="00A258D6">
        <w:rPr>
          <w:rFonts w:asciiTheme="majorHAnsi" w:eastAsia="Times New Roman" w:hAnsiTheme="majorHAnsi" w:cstheme="majorHAnsi"/>
          <w:b/>
          <w:bCs/>
        </w:rPr>
        <w:t>.</w:t>
      </w:r>
      <w:r w:rsidR="00B605D3" w:rsidRPr="009F7BA4">
        <w:rPr>
          <w:rFonts w:asciiTheme="majorHAnsi" w:eastAsia="Times New Roman" w:hAnsiTheme="majorHAnsi" w:cstheme="majorHAnsi"/>
          <w:b/>
          <w:bCs/>
        </w:rPr>
        <w:t>1</w:t>
      </w:r>
      <w:r w:rsidR="009F7BA4" w:rsidRPr="009F7BA4">
        <w:rPr>
          <w:rFonts w:asciiTheme="majorHAnsi" w:eastAsia="Times New Roman" w:hAnsiTheme="majorHAnsi" w:cstheme="majorHAnsi"/>
          <w:b/>
          <w:bCs/>
        </w:rPr>
        <w:t>8</w:t>
      </w: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Content>
        <w:p w14:paraId="6D1CCF82" w14:textId="10ACC14A"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290563DF" w:rsidR="003A3FBD" w:rsidRPr="00A258D6" w:rsidRDefault="00B8792B">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65630BFF" w:rsidR="003A3FBD" w:rsidRPr="00A258D6" w:rsidRDefault="00B8792B">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007B66A9" w:rsidR="003A3FBD" w:rsidRPr="00A258D6" w:rsidRDefault="00B8792B"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307E32EC" w:rsidR="003A3FBD" w:rsidRPr="00A258D6" w:rsidRDefault="00B8792B">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2C8FEB84" w:rsidR="003A3FBD" w:rsidRPr="00A258D6" w:rsidRDefault="00B8792B">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E0E9893" w:rsidR="003A3FBD" w:rsidRPr="00A258D6" w:rsidRDefault="00B8792B">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2EFA0CFC" w:rsidR="003A3FBD" w:rsidRPr="00A258D6" w:rsidRDefault="00B8792B">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707DA253" w:rsidR="003A3FBD" w:rsidRPr="00A258D6" w:rsidRDefault="00B8792B">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2992A9B0" w:rsidR="003A3FBD" w:rsidRPr="00A258D6" w:rsidRDefault="00B8792B">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4BF473AA" w:rsidR="003A3FBD" w:rsidRPr="00A258D6" w:rsidRDefault="00B8792B">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117C2E27" w:rsidR="003A3FBD" w:rsidRPr="00A258D6" w:rsidRDefault="00B8792B">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6E5B8D32" w:rsidR="003A3FBD" w:rsidRPr="00A258D6" w:rsidRDefault="00B8792B">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67B7D6E2" w:rsidR="003A3FBD" w:rsidRPr="00A258D6" w:rsidRDefault="00B8792B">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3EB0B8D1" w:rsidR="003A3FBD" w:rsidRPr="00A258D6" w:rsidRDefault="00B8792B">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7E928601" w:rsidR="003A3FBD" w:rsidRPr="00A258D6" w:rsidRDefault="00B8792B">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0929F4B" w14:textId="6AA06F2E" w:rsidR="003A3FBD" w:rsidRPr="00A258D6" w:rsidRDefault="00B8792B">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3F5BCDD" w14:textId="604B7C41" w:rsidR="003A3FBD" w:rsidRPr="00A258D6" w:rsidRDefault="00B8792B">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55B4219" w14:textId="2B309567" w:rsidR="003A3FBD" w:rsidRPr="00A258D6" w:rsidRDefault="00B8792B">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4903B4CA" w14:textId="172E709C" w:rsidR="003A3FBD" w:rsidRPr="00A258D6" w:rsidRDefault="00B8792B">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2E3B7F07" w14:textId="62707EC2" w:rsidR="003A3FBD" w:rsidRPr="00A258D6" w:rsidRDefault="00B8792B">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B84FA9F" w14:textId="0C611757" w:rsidR="003A3FBD" w:rsidRPr="00A258D6" w:rsidRDefault="00B8792B">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778F7FBF" w14:textId="57CCCB59" w:rsidR="003A3FBD" w:rsidRPr="00A258D6" w:rsidRDefault="00B8792B">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724C85B" w14:textId="6E193460" w:rsidR="003A3FBD" w:rsidRPr="00A258D6" w:rsidRDefault="00B8792B">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39274292" w14:textId="5E895483" w:rsidR="003A3FBD" w:rsidRPr="00A258D6" w:rsidRDefault="00B8792B">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54767">
              <w:rPr>
                <w:rFonts w:asciiTheme="majorHAnsi" w:hAnsiTheme="majorHAnsi" w:cstheme="majorHAnsi"/>
                <w:noProof/>
                <w:webHidden/>
              </w:rPr>
              <w:t>30</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B8792B" w:rsidP="00096CC1">
          <w:pPr>
            <w:tabs>
              <w:tab w:val="right" w:pos="9025"/>
            </w:tabs>
            <w:spacing w:line="319" w:lineRule="auto"/>
            <w:rPr>
              <w:rFonts w:asciiTheme="majorHAnsi" w:hAnsiTheme="majorHAnsi" w:cstheme="majorHAnsi"/>
              <w:b/>
              <w:color w:val="000000"/>
            </w:rPr>
          </w:pPr>
        </w:p>
      </w:sdtContent>
    </w:sdt>
    <w:bookmarkStart w:id="2"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2"/>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3"/>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4" w:name="_Toc65495844"/>
      <w:r w:rsidRPr="0039496C">
        <w:rPr>
          <w:rFonts w:asciiTheme="majorHAnsi" w:hAnsiTheme="majorHAnsi" w:cstheme="majorHAnsi"/>
          <w:b/>
          <w:bCs/>
          <w:sz w:val="24"/>
          <w:szCs w:val="24"/>
        </w:rPr>
        <w:t>II. Ochrona danych osobowych</w:t>
      </w:r>
      <w:bookmarkEnd w:id="4"/>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0CFF70A3"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p>
    <w:p w14:paraId="00000053"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p>
    <w:p w14:paraId="0000006D" w14:textId="5A4CF63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6" w:name="_Toc65495846"/>
      <w:bookmarkStart w:id="7" w:name="_Hlk66787009"/>
      <w:r w:rsidRPr="0039496C">
        <w:rPr>
          <w:rFonts w:asciiTheme="majorHAnsi" w:hAnsiTheme="majorHAnsi" w:cstheme="majorHAnsi"/>
          <w:b/>
          <w:bCs/>
          <w:sz w:val="24"/>
          <w:szCs w:val="24"/>
        </w:rPr>
        <w:t>IV. Opis przedmiotu zamówienia</w:t>
      </w:r>
      <w:bookmarkEnd w:id="6"/>
    </w:p>
    <w:p w14:paraId="2CDFD0AB" w14:textId="41B1EA89" w:rsidR="00735A3B" w:rsidRPr="0008203E" w:rsidRDefault="00091CFF" w:rsidP="006116B3">
      <w:pPr>
        <w:numPr>
          <w:ilvl w:val="0"/>
          <w:numId w:val="1"/>
        </w:numPr>
        <w:spacing w:line="319" w:lineRule="auto"/>
        <w:ind w:left="434"/>
        <w:jc w:val="both"/>
        <w:rPr>
          <w:rFonts w:asciiTheme="majorHAnsi" w:hAnsiTheme="majorHAnsi" w:cstheme="majorHAnsi"/>
          <w:color w:val="000000"/>
          <w:kern w:val="3"/>
        </w:rPr>
      </w:pPr>
      <w:r w:rsidRPr="0008203E">
        <w:rPr>
          <w:rFonts w:asciiTheme="majorHAnsi" w:hAnsiTheme="majorHAnsi" w:cstheme="majorHAnsi"/>
        </w:rPr>
        <w:t>Przedmiotem zamówienia jest</w:t>
      </w:r>
      <w:r w:rsidR="00735A3B" w:rsidRPr="0008203E">
        <w:rPr>
          <w:rFonts w:asciiTheme="majorHAnsi" w:hAnsiTheme="majorHAnsi" w:cstheme="majorHAnsi"/>
        </w:rPr>
        <w:t>:</w:t>
      </w:r>
    </w:p>
    <w:p w14:paraId="19E95AAF" w14:textId="1ABA3B92" w:rsidR="0008203E" w:rsidRPr="0008203E" w:rsidRDefault="0008203E" w:rsidP="00F76792">
      <w:pPr>
        <w:pStyle w:val="Akapitzlist"/>
        <w:numPr>
          <w:ilvl w:val="0"/>
          <w:numId w:val="36"/>
        </w:numPr>
        <w:spacing w:line="240" w:lineRule="auto"/>
        <w:jc w:val="both"/>
        <w:rPr>
          <w:rFonts w:asciiTheme="majorHAnsi" w:eastAsia="Times New Roman" w:hAnsiTheme="majorHAnsi" w:cstheme="majorHAnsi"/>
        </w:rPr>
      </w:pPr>
      <w:r w:rsidRPr="0008203E">
        <w:rPr>
          <w:rFonts w:asciiTheme="majorHAnsi" w:eastAsia="Times New Roman" w:hAnsiTheme="majorHAnsi" w:cstheme="majorHAnsi"/>
        </w:rPr>
        <w:t>budowa ulic Jesiennej, Letniej i Wakacyjnej</w:t>
      </w:r>
      <w:r>
        <w:rPr>
          <w:rFonts w:asciiTheme="majorHAnsi" w:eastAsia="Times New Roman" w:hAnsiTheme="majorHAnsi" w:cstheme="majorHAnsi"/>
        </w:rPr>
        <w:t>:</w:t>
      </w:r>
      <w:r w:rsidRPr="0008203E">
        <w:rPr>
          <w:rFonts w:asciiTheme="majorHAnsi" w:eastAsia="Times New Roman" w:hAnsiTheme="majorHAnsi" w:cstheme="majorHAnsi"/>
        </w:rPr>
        <w:t xml:space="preserve"> </w:t>
      </w:r>
    </w:p>
    <w:p w14:paraId="2848B3F6" w14:textId="05CC1434" w:rsidR="0008203E" w:rsidRPr="0008203E" w:rsidRDefault="0008203E" w:rsidP="0008203E">
      <w:pPr>
        <w:spacing w:line="240" w:lineRule="auto"/>
        <w:jc w:val="both"/>
        <w:rPr>
          <w:rFonts w:asciiTheme="majorHAnsi" w:eastAsia="Times New Roman" w:hAnsiTheme="majorHAnsi" w:cstheme="majorHAnsi"/>
        </w:rPr>
      </w:pPr>
      <w:r w:rsidRPr="0008203E">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08203E">
        <w:rPr>
          <w:rFonts w:asciiTheme="majorHAnsi" w:eastAsia="Times New Roman" w:hAnsiTheme="majorHAnsi" w:cstheme="majorHAnsi"/>
        </w:rPr>
        <w:t xml:space="preserve">jezdnie z chodnikami długość: ul. Jesienna 550,56 m, ul. Wakacyjna 252,58 m,   </w:t>
      </w:r>
    </w:p>
    <w:p w14:paraId="082C9A52" w14:textId="77777777" w:rsidR="0008203E" w:rsidRPr="0008203E" w:rsidRDefault="0008203E" w:rsidP="0008203E">
      <w:pPr>
        <w:spacing w:line="240" w:lineRule="auto"/>
        <w:jc w:val="both"/>
        <w:rPr>
          <w:rFonts w:asciiTheme="majorHAnsi" w:eastAsia="Times New Roman" w:hAnsiTheme="majorHAnsi" w:cstheme="majorHAnsi"/>
        </w:rPr>
      </w:pPr>
      <w:r w:rsidRPr="0008203E">
        <w:rPr>
          <w:rFonts w:asciiTheme="majorHAnsi" w:eastAsia="Times New Roman" w:hAnsiTheme="majorHAnsi" w:cstheme="majorHAnsi"/>
        </w:rPr>
        <w:t xml:space="preserve">            ul. Letnia 124,14 m – nawierzchnia z kostki betonowej</w:t>
      </w:r>
    </w:p>
    <w:p w14:paraId="3228E6E0" w14:textId="3AED9A02" w:rsidR="0008203E" w:rsidRDefault="0008203E" w:rsidP="0008203E">
      <w:pPr>
        <w:spacing w:line="240" w:lineRule="auto"/>
        <w:ind w:left="567" w:hanging="567"/>
        <w:jc w:val="both"/>
        <w:rPr>
          <w:rFonts w:asciiTheme="majorHAnsi" w:eastAsia="Times New Roman" w:hAnsiTheme="majorHAnsi" w:cstheme="majorHAnsi"/>
        </w:rPr>
      </w:pPr>
      <w:r w:rsidRPr="0008203E">
        <w:rPr>
          <w:rFonts w:asciiTheme="majorHAnsi" w:eastAsia="Times New Roman" w:hAnsiTheme="majorHAnsi" w:cstheme="majorHAnsi"/>
        </w:rPr>
        <w:lastRenderedPageBreak/>
        <w:t xml:space="preserve">        - kanalizacj</w:t>
      </w:r>
      <w:r>
        <w:rPr>
          <w:rFonts w:asciiTheme="majorHAnsi" w:eastAsia="Times New Roman" w:hAnsiTheme="majorHAnsi" w:cstheme="majorHAnsi"/>
        </w:rPr>
        <w:t xml:space="preserve">i </w:t>
      </w:r>
      <w:r w:rsidRPr="0008203E">
        <w:rPr>
          <w:rFonts w:asciiTheme="majorHAnsi" w:eastAsia="Times New Roman" w:hAnsiTheme="majorHAnsi" w:cstheme="majorHAnsi"/>
        </w:rPr>
        <w:t xml:space="preserve"> deszczowe</w:t>
      </w:r>
      <w:r>
        <w:rPr>
          <w:rFonts w:asciiTheme="majorHAnsi" w:eastAsia="Times New Roman" w:hAnsiTheme="majorHAnsi" w:cstheme="majorHAnsi"/>
        </w:rPr>
        <w:t>j</w:t>
      </w:r>
      <w:r w:rsidRPr="0008203E">
        <w:rPr>
          <w:rFonts w:asciiTheme="majorHAnsi" w:eastAsia="Times New Roman" w:hAnsiTheme="majorHAnsi" w:cstheme="majorHAnsi"/>
        </w:rPr>
        <w:t>: ul. Jesienna 603,78 m, ul. Wakacyjna 253,50 m, ul. Letnia 46 m – rury PVC</w:t>
      </w:r>
      <w:r>
        <w:rPr>
          <w:rFonts w:asciiTheme="majorHAnsi" w:eastAsia="Times New Roman" w:hAnsiTheme="majorHAnsi" w:cstheme="majorHAnsi"/>
        </w:rPr>
        <w:t>,</w:t>
      </w:r>
    </w:p>
    <w:p w14:paraId="483A0334" w14:textId="77777777" w:rsidR="007606A6" w:rsidRPr="0008203E" w:rsidRDefault="007606A6" w:rsidP="0008203E">
      <w:pPr>
        <w:spacing w:line="240" w:lineRule="auto"/>
        <w:ind w:left="567" w:hanging="567"/>
        <w:jc w:val="both"/>
        <w:rPr>
          <w:rFonts w:asciiTheme="majorHAnsi" w:eastAsia="Times New Roman" w:hAnsiTheme="majorHAnsi" w:cstheme="majorHAnsi"/>
        </w:rPr>
      </w:pPr>
    </w:p>
    <w:p w14:paraId="662DE3DC" w14:textId="3A4A6495" w:rsidR="0008203E" w:rsidRDefault="0008203E" w:rsidP="0008203E">
      <w:pPr>
        <w:spacing w:line="240" w:lineRule="auto"/>
        <w:jc w:val="both"/>
        <w:rPr>
          <w:rFonts w:asciiTheme="majorHAnsi" w:eastAsia="Times New Roman" w:hAnsiTheme="majorHAnsi" w:cstheme="majorHAnsi"/>
        </w:rPr>
      </w:pPr>
      <w:r w:rsidRPr="0008203E">
        <w:rPr>
          <w:rFonts w:asciiTheme="majorHAnsi" w:eastAsia="Times New Roman" w:hAnsiTheme="majorHAnsi" w:cstheme="majorHAnsi"/>
        </w:rPr>
        <w:t xml:space="preserve">    b</w:t>
      </w:r>
      <w:r>
        <w:rPr>
          <w:rFonts w:asciiTheme="majorHAnsi" w:eastAsia="Times New Roman" w:hAnsiTheme="majorHAnsi" w:cstheme="majorHAnsi"/>
        </w:rPr>
        <w:t xml:space="preserve">) </w:t>
      </w:r>
      <w:r w:rsidRPr="0008203E">
        <w:rPr>
          <w:rFonts w:asciiTheme="majorHAnsi" w:eastAsia="Times New Roman" w:hAnsiTheme="majorHAnsi" w:cstheme="majorHAnsi"/>
        </w:rPr>
        <w:t>budowa połączenia ul. Wiosennej do ul. Jesiennej, ul. Wiosennej do ul. Wierzbowej</w:t>
      </w:r>
      <w:r>
        <w:rPr>
          <w:rFonts w:asciiTheme="majorHAnsi" w:eastAsia="Times New Roman" w:hAnsiTheme="majorHAnsi" w:cstheme="majorHAnsi"/>
        </w:rPr>
        <w:t>:</w:t>
      </w:r>
    </w:p>
    <w:p w14:paraId="7E691D73" w14:textId="77777777" w:rsidR="0008203E" w:rsidRPr="0008203E" w:rsidRDefault="0008203E" w:rsidP="0008203E">
      <w:pPr>
        <w:spacing w:line="240" w:lineRule="auto"/>
        <w:jc w:val="both"/>
        <w:rPr>
          <w:rFonts w:asciiTheme="majorHAnsi" w:eastAsia="Times New Roman" w:hAnsiTheme="majorHAnsi" w:cstheme="majorHAnsi"/>
        </w:rPr>
      </w:pPr>
    </w:p>
    <w:p w14:paraId="3F8FF138" w14:textId="0FE15D1E" w:rsidR="0008203E" w:rsidRDefault="0008203E" w:rsidP="0008203E">
      <w:pPr>
        <w:spacing w:line="240" w:lineRule="auto"/>
        <w:ind w:left="426" w:hanging="426"/>
        <w:jc w:val="both"/>
        <w:rPr>
          <w:rFonts w:asciiTheme="majorHAnsi" w:eastAsia="Times New Roman" w:hAnsiTheme="majorHAnsi" w:cstheme="majorHAnsi"/>
        </w:rPr>
      </w:pPr>
      <w:r w:rsidRPr="0008203E">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08203E">
        <w:rPr>
          <w:rFonts w:asciiTheme="majorHAnsi" w:eastAsia="Times New Roman" w:hAnsiTheme="majorHAnsi" w:cstheme="majorHAnsi"/>
        </w:rPr>
        <w:t>połączenie ul. Wiosennej do ul. Jesiennej: jezdnia z chodnikiem długość 108,30 m – nawierzchnia z kostki</w:t>
      </w:r>
      <w:r>
        <w:rPr>
          <w:rFonts w:asciiTheme="majorHAnsi" w:eastAsia="Times New Roman" w:hAnsiTheme="majorHAnsi" w:cstheme="majorHAnsi"/>
        </w:rPr>
        <w:t xml:space="preserve"> b</w:t>
      </w:r>
      <w:r w:rsidRPr="0008203E">
        <w:rPr>
          <w:rFonts w:asciiTheme="majorHAnsi" w:eastAsia="Times New Roman" w:hAnsiTheme="majorHAnsi" w:cstheme="majorHAnsi"/>
        </w:rPr>
        <w:t>etonowej, kanalizacja deszczowa 14,50 m – rury PVC</w:t>
      </w:r>
      <w:r>
        <w:rPr>
          <w:rFonts w:asciiTheme="majorHAnsi" w:eastAsia="Times New Roman" w:hAnsiTheme="majorHAnsi" w:cstheme="majorHAnsi"/>
        </w:rPr>
        <w:t>,</w:t>
      </w:r>
    </w:p>
    <w:p w14:paraId="53BDFAC6" w14:textId="77777777" w:rsidR="0008203E" w:rsidRPr="0008203E" w:rsidRDefault="0008203E" w:rsidP="0008203E">
      <w:pPr>
        <w:spacing w:line="240" w:lineRule="auto"/>
        <w:ind w:left="426" w:hanging="426"/>
        <w:jc w:val="both"/>
        <w:rPr>
          <w:rFonts w:asciiTheme="majorHAnsi" w:eastAsia="Times New Roman" w:hAnsiTheme="majorHAnsi" w:cstheme="majorHAnsi"/>
        </w:rPr>
      </w:pPr>
    </w:p>
    <w:p w14:paraId="14722170" w14:textId="74804F89" w:rsidR="0008203E" w:rsidRPr="0008203E" w:rsidRDefault="0008203E" w:rsidP="0008203E">
      <w:pPr>
        <w:spacing w:line="240" w:lineRule="auto"/>
        <w:ind w:left="426" w:hanging="426"/>
        <w:jc w:val="both"/>
        <w:rPr>
          <w:rFonts w:asciiTheme="majorHAnsi" w:eastAsia="Times New Roman" w:hAnsiTheme="majorHAnsi" w:cstheme="majorHAnsi"/>
        </w:rPr>
      </w:pPr>
      <w:r w:rsidRPr="0008203E">
        <w:rPr>
          <w:rFonts w:asciiTheme="majorHAnsi" w:eastAsia="Times New Roman" w:hAnsiTheme="majorHAnsi" w:cstheme="majorHAnsi"/>
        </w:rPr>
        <w:t xml:space="preserve">        - połączenie ul. Wiosennej do ul. Wierzbowej: jezdnia z chodnikiem</w:t>
      </w:r>
      <w:r>
        <w:rPr>
          <w:rFonts w:asciiTheme="majorHAnsi" w:eastAsia="Times New Roman" w:hAnsiTheme="majorHAnsi" w:cstheme="majorHAnsi"/>
        </w:rPr>
        <w:t xml:space="preserve"> </w:t>
      </w:r>
      <w:r w:rsidRPr="0008203E">
        <w:rPr>
          <w:rFonts w:asciiTheme="majorHAnsi" w:eastAsia="Times New Roman" w:hAnsiTheme="majorHAnsi" w:cstheme="majorHAnsi"/>
        </w:rPr>
        <w:t>135,15 m – nawierzchnia z kostki betonowej,  kanalizacja deszczowa 162 m – rury PVC</w:t>
      </w:r>
      <w:r>
        <w:rPr>
          <w:rFonts w:asciiTheme="majorHAnsi" w:eastAsia="Times New Roman" w:hAnsiTheme="majorHAnsi" w:cstheme="majorHAnsi"/>
        </w:rPr>
        <w:t>.</w:t>
      </w:r>
    </w:p>
    <w:p w14:paraId="01C912F8" w14:textId="77777777" w:rsidR="0008203E" w:rsidRPr="0008203E" w:rsidRDefault="0008203E" w:rsidP="0008203E">
      <w:pPr>
        <w:spacing w:line="319" w:lineRule="auto"/>
        <w:jc w:val="both"/>
        <w:rPr>
          <w:rFonts w:asciiTheme="majorHAnsi" w:hAnsiTheme="majorHAnsi" w:cstheme="majorHAnsi"/>
          <w:color w:val="000000"/>
          <w:kern w:val="3"/>
          <w:highlight w:val="yellow"/>
        </w:rPr>
      </w:pPr>
    </w:p>
    <w:p w14:paraId="55FCC132" w14:textId="22EAFA2D" w:rsidR="00D012B4" w:rsidRPr="004D51CB" w:rsidRDefault="00D012B4" w:rsidP="00D012B4">
      <w:pPr>
        <w:numPr>
          <w:ilvl w:val="0"/>
          <w:numId w:val="1"/>
        </w:numPr>
        <w:spacing w:line="319" w:lineRule="auto"/>
        <w:ind w:left="434"/>
        <w:jc w:val="both"/>
        <w:rPr>
          <w:rFonts w:asciiTheme="majorHAnsi" w:hAnsiTheme="majorHAnsi" w:cstheme="majorHAnsi"/>
          <w:color w:val="000000"/>
          <w:kern w:val="3"/>
        </w:rPr>
      </w:pPr>
      <w:r w:rsidRPr="00D012B4">
        <w:rPr>
          <w:rFonts w:asciiTheme="majorHAnsi" w:eastAsia="Times New Roman" w:hAnsiTheme="majorHAnsi" w:cstheme="majorHAnsi"/>
          <w:b/>
        </w:rPr>
        <w:t xml:space="preserve">Wspólny Słownik Zamówień (CPV):  </w:t>
      </w:r>
    </w:p>
    <w:p w14:paraId="2B8C4792" w14:textId="066B4F13"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45111200-0 Roboty w zakresie przygotowywania terenu pod budowę i roboty ziemne</w:t>
      </w:r>
    </w:p>
    <w:p w14:paraId="5DC54CB7" w14:textId="6F986322"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45231000-5 Roboty budowlane w zakresie budowy rurociągów, ciągów komunikacyjnych i linii elektroenergetycznych</w:t>
      </w:r>
    </w:p>
    <w:p w14:paraId="44200FC7" w14:textId="23E72D17"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45232130-2 Roboty budowlane w zakresie rurociągów do odprowadzania wody burzowej</w:t>
      </w:r>
    </w:p>
    <w:p w14:paraId="76B991C9" w14:textId="36FF2E0A"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45233252-0 Roboty w zakresie nawierzchni ulic</w:t>
      </w:r>
    </w:p>
    <w:p w14:paraId="57F56D08" w14:textId="77F47E9C" w:rsidR="004D51CB" w:rsidRDefault="004D51CB" w:rsidP="004D51CB">
      <w:pPr>
        <w:spacing w:line="319" w:lineRule="auto"/>
        <w:ind w:left="434"/>
        <w:jc w:val="both"/>
        <w:rPr>
          <w:rFonts w:asciiTheme="majorHAnsi" w:eastAsia="Times New Roman" w:hAnsiTheme="majorHAnsi" w:cstheme="majorHAnsi"/>
          <w:b/>
        </w:rPr>
      </w:pPr>
      <w:r>
        <w:rPr>
          <w:rFonts w:asciiTheme="majorHAnsi" w:eastAsia="Times New Roman" w:hAnsiTheme="majorHAnsi" w:cstheme="majorHAnsi"/>
          <w:b/>
        </w:rPr>
        <w:t>45233253-7 Roboty w zakresie nawierzchni dróg dla pieszych</w:t>
      </w:r>
    </w:p>
    <w:p w14:paraId="79AA1437" w14:textId="77777777" w:rsidR="00326F74" w:rsidRDefault="00326F74" w:rsidP="004D51CB">
      <w:pPr>
        <w:spacing w:line="319" w:lineRule="auto"/>
        <w:ind w:left="434"/>
        <w:jc w:val="both"/>
        <w:rPr>
          <w:rFonts w:asciiTheme="majorHAnsi" w:eastAsia="Times New Roman" w:hAnsiTheme="majorHAnsi" w:cstheme="majorHAnsi"/>
          <w:b/>
        </w:rPr>
      </w:pPr>
    </w:p>
    <w:p w14:paraId="7B3F23C9" w14:textId="020742F5" w:rsidR="00326F74" w:rsidRDefault="00326F74" w:rsidP="00326F74">
      <w:pPr>
        <w:pStyle w:val="Akapitzlist"/>
        <w:numPr>
          <w:ilvl w:val="0"/>
          <w:numId w:val="1"/>
        </w:numPr>
        <w:tabs>
          <w:tab w:val="left" w:pos="426"/>
        </w:tabs>
        <w:spacing w:after="0" w:line="319" w:lineRule="auto"/>
        <w:ind w:left="0" w:firstLine="0"/>
        <w:jc w:val="both"/>
        <w:rPr>
          <w:rFonts w:eastAsia="Times New Roman"/>
          <w:szCs w:val="24"/>
        </w:rPr>
      </w:pPr>
      <w:r w:rsidRPr="00326F74">
        <w:rPr>
          <w:rFonts w:eastAsia="Times New Roman"/>
          <w:szCs w:val="24"/>
        </w:rPr>
        <w:t xml:space="preserve">Zamawiający wymaga, aby przedmiot zamówienia był objęty minimum </w:t>
      </w:r>
      <w:r w:rsidRPr="00326F74">
        <w:rPr>
          <w:rFonts w:eastAsia="Times New Roman"/>
          <w:b/>
          <w:szCs w:val="24"/>
        </w:rPr>
        <w:t>60 miesięcznym</w:t>
      </w:r>
      <w:r w:rsidRPr="00326F74">
        <w:rPr>
          <w:rFonts w:eastAsia="Times New Roman"/>
          <w:szCs w:val="24"/>
        </w:rPr>
        <w:t xml:space="preserve"> </w:t>
      </w:r>
      <w:r w:rsidRPr="00326F74">
        <w:rPr>
          <w:rFonts w:eastAsia="Times New Roman"/>
          <w:b/>
          <w:szCs w:val="24"/>
        </w:rPr>
        <w:t>okresem gwarancji oraz 60 miesięcznym okresem rękojmi</w:t>
      </w:r>
      <w:r w:rsidRPr="00326F74">
        <w:rPr>
          <w:rFonts w:eastAsia="Times New Roman"/>
          <w:szCs w:val="24"/>
        </w:rPr>
        <w:t xml:space="preserve">. W przypadku wydłużenia okresu gwarancji jednoczesnemu wydłużeniu ulega </w:t>
      </w:r>
      <w:r w:rsidRPr="00326F74">
        <w:rPr>
          <w:rFonts w:eastAsia="Times New Roman"/>
          <w:b/>
          <w:szCs w:val="24"/>
        </w:rPr>
        <w:t>okres rękojmi.</w:t>
      </w:r>
      <w:r w:rsidRPr="00326F74">
        <w:rPr>
          <w:rFonts w:eastAsia="Times New Roman"/>
          <w:szCs w:val="24"/>
        </w:rPr>
        <w:t xml:space="preserve"> Maksymalny okres gwarancji i rękojmi zaoferowany przez Wykonawcę, może wynosić 84 miesiące. Jeżeli na poszczególne materiały lub urządzenia udzielona jest gwarancja producenta na okres dłuższy niż ten zaproponowany w ofercie, okres gwarancji udzielonej przez Wykonawcę odpowiada okresowi gwarancji udzielonej przez producenta</w:t>
      </w:r>
      <w:r>
        <w:rPr>
          <w:rFonts w:eastAsia="Times New Roman"/>
          <w:szCs w:val="24"/>
        </w:rPr>
        <w:t>.</w:t>
      </w:r>
    </w:p>
    <w:p w14:paraId="6BA05CFC" w14:textId="77777777" w:rsidR="00326F74" w:rsidRPr="00326F74" w:rsidRDefault="00326F74" w:rsidP="00326F74">
      <w:pPr>
        <w:pStyle w:val="Akapitzlist"/>
        <w:tabs>
          <w:tab w:val="left" w:pos="426"/>
        </w:tabs>
        <w:spacing w:after="0" w:line="319" w:lineRule="auto"/>
        <w:ind w:left="0"/>
        <w:jc w:val="both"/>
        <w:rPr>
          <w:rFonts w:eastAsia="Times New Roman"/>
          <w:szCs w:val="24"/>
        </w:rPr>
      </w:pPr>
    </w:p>
    <w:p w14:paraId="4F5C1042" w14:textId="63350F24" w:rsidR="0045658C" w:rsidRPr="00A258D6" w:rsidRDefault="00FC4AB9" w:rsidP="00881111">
      <w:pPr>
        <w:pStyle w:val="Akapitzlist"/>
        <w:numPr>
          <w:ilvl w:val="0"/>
          <w:numId w:val="1"/>
        </w:numPr>
        <w:spacing w:after="0" w:line="319" w:lineRule="auto"/>
        <w:ind w:left="425" w:hanging="425"/>
        <w:jc w:val="both"/>
        <w:rPr>
          <w:rFonts w:asciiTheme="majorHAnsi" w:hAnsiTheme="majorHAnsi" w:cstheme="majorHAnsi"/>
          <w:bCs/>
        </w:rPr>
      </w:pPr>
      <w:bookmarkStart w:id="8" w:name="_Hlk66442564"/>
      <w:r w:rsidRPr="00A258D6">
        <w:rPr>
          <w:rFonts w:asciiTheme="majorHAnsi" w:hAnsiTheme="majorHAnsi" w:cstheme="majorHAnsi"/>
        </w:rPr>
        <w:t xml:space="preserve">Zamawiający </w:t>
      </w:r>
      <w:r w:rsidR="005422A4" w:rsidRPr="00A258D6">
        <w:rPr>
          <w:rFonts w:asciiTheme="majorHAnsi" w:hAnsiTheme="majorHAnsi" w:cstheme="majorHAnsi"/>
        </w:rPr>
        <w:t xml:space="preserve">nie </w:t>
      </w:r>
      <w:r w:rsidRPr="00A258D6">
        <w:rPr>
          <w:rFonts w:asciiTheme="majorHAnsi" w:hAnsiTheme="majorHAnsi" w:cstheme="majorHAnsi"/>
        </w:rPr>
        <w:t xml:space="preserve">dopuszcza </w:t>
      </w:r>
      <w:r w:rsidR="005422A4" w:rsidRPr="00A258D6">
        <w:rPr>
          <w:rFonts w:asciiTheme="majorHAnsi" w:hAnsiTheme="majorHAnsi" w:cstheme="majorHAnsi"/>
        </w:rPr>
        <w:t xml:space="preserve">możliwości składania </w:t>
      </w:r>
      <w:r w:rsidRPr="00A258D6">
        <w:rPr>
          <w:rFonts w:asciiTheme="majorHAnsi" w:hAnsiTheme="majorHAnsi" w:cstheme="majorHAnsi"/>
        </w:rPr>
        <w:t>ofert częściowych</w:t>
      </w:r>
      <w:r w:rsidR="00096B30" w:rsidRPr="00A258D6">
        <w:rPr>
          <w:rFonts w:asciiTheme="majorHAnsi" w:hAnsiTheme="majorHAnsi" w:cstheme="majorHAnsi"/>
        </w:rPr>
        <w:t xml:space="preserve">. </w:t>
      </w:r>
    </w:p>
    <w:bookmarkEnd w:id="7"/>
    <w:bookmarkEnd w:id="8"/>
    <w:p w14:paraId="732E3FA0" w14:textId="77777777" w:rsidR="00C9460E" w:rsidRDefault="00C9460E" w:rsidP="00C9460E">
      <w:pPr>
        <w:spacing w:line="312" w:lineRule="auto"/>
        <w:jc w:val="both"/>
      </w:pPr>
      <w:r w:rsidRPr="00C9460E">
        <w:rPr>
          <w:rFonts w:ascii="Calibri Light" w:hAnsi="Calibri Light" w:cs="Calibri Light"/>
        </w:rPr>
        <w:t>Uzasadnienie do braku podziału zamówienia na części:</w:t>
      </w:r>
    </w:p>
    <w:p w14:paraId="504BC2BA" w14:textId="77777777" w:rsidR="00C9460E" w:rsidRDefault="00C9460E" w:rsidP="00C9460E">
      <w:pPr>
        <w:spacing w:line="312" w:lineRule="auto"/>
        <w:jc w:val="both"/>
      </w:pPr>
      <w:r w:rsidRPr="00C9460E">
        <w:rPr>
          <w:rFonts w:ascii="Calibri Light" w:hAnsi="Calibri Light" w:cs="Calibri Light"/>
        </w:rPr>
        <w:t>Zdaniem Zamawiającego podział zakresu niniejszego postępowania na części,  nie jest uzasadniony, a przeciwnie powodowałby nadmierne trudności techniczne związane z realizacją zamówienia, stąd też realizacja dwóch zadań budżetowych została w przedmiotowym postępowaniu połączona.</w:t>
      </w:r>
    </w:p>
    <w:p w14:paraId="057A3F1A" w14:textId="77777777" w:rsidR="00C9460E" w:rsidRDefault="00C9460E" w:rsidP="00C9460E">
      <w:pPr>
        <w:spacing w:line="312" w:lineRule="auto"/>
        <w:jc w:val="both"/>
      </w:pPr>
      <w:r w:rsidRPr="00C9460E">
        <w:rPr>
          <w:rFonts w:ascii="Calibri Light" w:hAnsi="Calibri Light" w:cs="Calibri Light"/>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77777777" w:rsidR="00C9460E" w:rsidRDefault="00C9460E" w:rsidP="00C9460E">
      <w:pPr>
        <w:spacing w:line="312" w:lineRule="auto"/>
        <w:jc w:val="both"/>
      </w:pPr>
      <w:r w:rsidRPr="00C9460E">
        <w:rPr>
          <w:rFonts w:ascii="Calibri Light" w:hAnsi="Calibri Light" w:cs="Calibri Light"/>
        </w:rPr>
        <w:t xml:space="preserve">Zadania budżetowe wchodzące w zakres niemniejszego postepowania  mają charakter wykonawstwa jednobranżowego, co określa ciąg technologiczny. Kanalizacja deszczowa w ulicach Wiosennej do ul. Wierzbowej ( jedno zadanie budżetowe) oraz Jesienna (drugie zadanie budżetowe) stanowią jeden ciąg kanalizacyjny, który powinien być budowany jednorazowo na całym odcinku przez jednego wykonawcę. Podzielenie zadań spowoduje m.in. trudności techniczne związane z odpowiednim zabezpieczeniem odcinków realizowanych robót, trudności w zapewnieniu przejezdności dla mieszkańców okolicznych </w:t>
      </w:r>
      <w:r w:rsidRPr="00C9460E">
        <w:rPr>
          <w:rFonts w:ascii="Calibri Light" w:hAnsi="Calibri Light" w:cs="Calibri Light"/>
        </w:rPr>
        <w:lastRenderedPageBreak/>
        <w:t>ulic. Koordynacja prac różnych wykonawców realizujących oddzielne odcinki kanalizacji,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Default="00C9460E" w:rsidP="00C9460E">
      <w:pPr>
        <w:spacing w:line="312" w:lineRule="auto"/>
        <w:jc w:val="both"/>
      </w:pPr>
      <w:r w:rsidRPr="00C9460E">
        <w:rPr>
          <w:rFonts w:ascii="Calibri Light" w:hAnsi="Calibri Light" w:cs="Calibri Light"/>
        </w:rPr>
        <w:t>Ze względu na zakres i wartość zamówienia, brak podziału zamówienia na części nie zakłóca konkurencji w ramach postępowania.</w:t>
      </w:r>
    </w:p>
    <w:p w14:paraId="445D37A3" w14:textId="77777777" w:rsidR="00767DAC" w:rsidRPr="00A258D6" w:rsidRDefault="00767DAC" w:rsidP="004C3F3B">
      <w:pPr>
        <w:pStyle w:val="Akapitzlist"/>
        <w:spacing w:after="0" w:line="319" w:lineRule="auto"/>
        <w:ind w:left="425"/>
        <w:jc w:val="both"/>
        <w:rPr>
          <w:rFonts w:asciiTheme="majorHAnsi" w:hAnsiTheme="majorHAnsi" w:cstheme="majorHAnsi"/>
          <w:bCs/>
          <w:color w:val="FF0000"/>
        </w:rPr>
      </w:pPr>
    </w:p>
    <w:p w14:paraId="00000075" w14:textId="52D9AD50" w:rsidR="001C5D72" w:rsidRPr="00326F74" w:rsidRDefault="00326F74" w:rsidP="00326F74">
      <w:pPr>
        <w:spacing w:line="319" w:lineRule="auto"/>
        <w:jc w:val="both"/>
        <w:rPr>
          <w:rFonts w:asciiTheme="majorHAnsi" w:hAnsiTheme="majorHAnsi" w:cstheme="majorHAnsi"/>
        </w:rPr>
      </w:pPr>
      <w:r w:rsidRPr="00326F74">
        <w:rPr>
          <w:rFonts w:asciiTheme="majorHAnsi" w:hAnsiTheme="majorHAnsi" w:cstheme="majorHAnsi"/>
          <w:b/>
          <w:bCs/>
        </w:rPr>
        <w:t>5.</w:t>
      </w:r>
      <w:r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3A5B79FE" w:rsidR="001C5D72" w:rsidRPr="00326F74" w:rsidRDefault="00FC4AB9" w:rsidP="00326F74">
      <w:pPr>
        <w:pStyle w:val="Akapitzlist"/>
        <w:numPr>
          <w:ilvl w:val="0"/>
          <w:numId w:val="37"/>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44E88950" w14:textId="77777777" w:rsidR="00471433" w:rsidRPr="00326F74" w:rsidRDefault="00471433" w:rsidP="00326F74">
      <w:pPr>
        <w:pStyle w:val="Akapitzlist"/>
        <w:numPr>
          <w:ilvl w:val="0"/>
          <w:numId w:val="37"/>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D05B" w14:textId="77777777" w:rsidR="00881111" w:rsidRPr="00A258D6" w:rsidRDefault="00881111" w:rsidP="00881111">
      <w:pPr>
        <w:spacing w:line="319" w:lineRule="auto"/>
        <w:ind w:left="462"/>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50"/>
      <w:r w:rsidRPr="0039496C">
        <w:rPr>
          <w:rFonts w:asciiTheme="majorHAnsi" w:hAnsiTheme="majorHAnsi" w:cstheme="majorHAnsi"/>
          <w:b/>
          <w:bCs/>
          <w:sz w:val="24"/>
          <w:szCs w:val="24"/>
        </w:rPr>
        <w:t>V. Wizja lokalna</w:t>
      </w:r>
      <w:bookmarkEnd w:id="9"/>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0" w:name="_Toc65495851"/>
      <w:r w:rsidRPr="0039496C">
        <w:rPr>
          <w:rFonts w:asciiTheme="majorHAnsi" w:hAnsiTheme="majorHAnsi" w:cstheme="majorHAnsi"/>
          <w:b/>
          <w:bCs/>
          <w:sz w:val="24"/>
          <w:szCs w:val="24"/>
        </w:rPr>
        <w:t>VI. Podwykonawstwo</w:t>
      </w:r>
      <w:bookmarkEnd w:id="10"/>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673E2EFE"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1" w:name="_Toc65495852"/>
      <w:r w:rsidRPr="00A258D6">
        <w:rPr>
          <w:rFonts w:asciiTheme="majorHAnsi" w:hAnsiTheme="majorHAnsi" w:cstheme="majorHAnsi"/>
          <w:b/>
          <w:bCs/>
          <w:sz w:val="24"/>
          <w:szCs w:val="24"/>
        </w:rPr>
        <w:t>VII. Termin wykonania zamówienia</w:t>
      </w:r>
      <w:bookmarkEnd w:id="11"/>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FD5FF7">
        <w:rPr>
          <w:rFonts w:asciiTheme="majorHAnsi" w:eastAsia="Times New Roman" w:hAnsiTheme="majorHAnsi" w:cstheme="majorHAnsi"/>
          <w:b/>
          <w:sz w:val="24"/>
          <w:szCs w:val="24"/>
        </w:rPr>
        <w:t>1</w:t>
      </w:r>
      <w:r w:rsidR="003C6AFB">
        <w:rPr>
          <w:rFonts w:asciiTheme="majorHAnsi" w:eastAsia="Times New Roman" w:hAnsiTheme="majorHAnsi" w:cstheme="majorHAnsi"/>
          <w:b/>
          <w:sz w:val="24"/>
          <w:szCs w:val="24"/>
        </w:rPr>
        <w:t>5</w:t>
      </w:r>
      <w:r w:rsidR="006B6890" w:rsidRPr="00A258D6">
        <w:rPr>
          <w:rFonts w:asciiTheme="majorHAnsi" w:eastAsia="Times New Roman" w:hAnsiTheme="majorHAnsi" w:cstheme="majorHAnsi"/>
          <w:b/>
          <w:sz w:val="24"/>
          <w:szCs w:val="24"/>
        </w:rPr>
        <w:t xml:space="preserve"> miesięcy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2" w:name="_Toc65495853"/>
      <w:r w:rsidRPr="00A258D6">
        <w:rPr>
          <w:rFonts w:asciiTheme="majorHAnsi" w:hAnsiTheme="majorHAnsi" w:cstheme="majorHAnsi"/>
          <w:b/>
          <w:bCs/>
          <w:sz w:val="24"/>
          <w:szCs w:val="24"/>
        </w:rPr>
        <w:t>VIII. Warunki udziału w postępowaniu</w:t>
      </w:r>
      <w:bookmarkEnd w:id="12"/>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7D436449" w14:textId="0B547E10" w:rsidR="00D51A9B" w:rsidRPr="00D51A9B" w:rsidRDefault="00A258D6" w:rsidP="00D51A9B">
      <w:pPr>
        <w:spacing w:line="240" w:lineRule="auto"/>
        <w:ind w:left="567"/>
        <w:jc w:val="both"/>
        <w:rPr>
          <w:rFonts w:asciiTheme="majorHAnsi" w:eastAsia="Times New Roman" w:hAnsiTheme="majorHAnsi" w:cstheme="majorHAnsi"/>
          <w:b/>
          <w:bCs/>
          <w:szCs w:val="24"/>
        </w:rPr>
      </w:pPr>
      <w:bookmarkStart w:id="13" w:name="_Hlk5877927"/>
      <w:r w:rsidRPr="00D51A9B">
        <w:rPr>
          <w:rFonts w:asciiTheme="majorHAnsi" w:eastAsia="Times New Roman" w:hAnsiTheme="majorHAnsi" w:cstheme="majorHAnsi"/>
          <w:b/>
          <w:bCs/>
        </w:rPr>
        <w:t xml:space="preserve">a) </w:t>
      </w:r>
      <w:r w:rsidRPr="00D51A9B">
        <w:rPr>
          <w:rFonts w:asciiTheme="majorHAnsi" w:eastAsia="Times New Roman" w:hAnsiTheme="majorHAnsi" w:cstheme="majorHAnsi"/>
          <w:bCs/>
        </w:rPr>
        <w:t xml:space="preserve">Wykonawca spełni warunek jeżeli wykaże, że w okresie 5 lat przed upływem terminu składania ofert, a jeżeli okres prowadzenia działalności jest krótszy – w tym okresie, </w:t>
      </w:r>
      <w:r w:rsidRPr="00D51A9B">
        <w:rPr>
          <w:rFonts w:asciiTheme="majorHAnsi" w:eastAsia="Times New Roman" w:hAnsiTheme="majorHAnsi" w:cstheme="majorHAnsi"/>
          <w:b/>
          <w:bCs/>
        </w:rPr>
        <w:t xml:space="preserve"> </w:t>
      </w:r>
      <w:r w:rsidR="00D51A9B" w:rsidRPr="00D51A9B">
        <w:rPr>
          <w:rFonts w:asciiTheme="majorHAnsi" w:eastAsia="Times New Roman" w:hAnsiTheme="majorHAnsi" w:cstheme="majorHAnsi"/>
          <w:b/>
          <w:bCs/>
          <w:szCs w:val="24"/>
        </w:rPr>
        <w:t xml:space="preserve">należycie wykonał </w:t>
      </w:r>
      <w:bookmarkStart w:id="14" w:name="_Hlk26960414"/>
      <w:r w:rsidR="00D51A9B" w:rsidRPr="00D51A9B">
        <w:rPr>
          <w:rFonts w:asciiTheme="majorHAnsi" w:eastAsia="Times New Roman" w:hAnsiTheme="majorHAnsi" w:cstheme="majorHAnsi"/>
          <w:b/>
          <w:bCs/>
          <w:szCs w:val="24"/>
        </w:rPr>
        <w:t>co najmniej jedną robotę budowlaną o wartości co najmniej 2.</w:t>
      </w:r>
      <w:r w:rsidR="00D51A9B">
        <w:rPr>
          <w:rFonts w:asciiTheme="majorHAnsi" w:eastAsia="Times New Roman" w:hAnsiTheme="majorHAnsi" w:cstheme="majorHAnsi"/>
          <w:b/>
          <w:bCs/>
          <w:szCs w:val="24"/>
        </w:rPr>
        <w:t>0</w:t>
      </w:r>
      <w:r w:rsidR="00D51A9B" w:rsidRPr="00D51A9B">
        <w:rPr>
          <w:rFonts w:asciiTheme="majorHAnsi" w:eastAsia="Times New Roman" w:hAnsiTheme="majorHAnsi" w:cstheme="majorHAnsi"/>
          <w:b/>
          <w:bCs/>
          <w:szCs w:val="24"/>
        </w:rPr>
        <w:t>00.000,00 zł brutto, obejmującą co najmniej:</w:t>
      </w:r>
    </w:p>
    <w:p w14:paraId="1D6B512A" w14:textId="4F6C1430" w:rsidR="00D51A9B" w:rsidRPr="00D51A9B" w:rsidRDefault="00D51A9B" w:rsidP="00D51A9B">
      <w:pPr>
        <w:spacing w:line="240" w:lineRule="auto"/>
        <w:ind w:left="567"/>
        <w:jc w:val="both"/>
        <w:rPr>
          <w:rFonts w:asciiTheme="majorHAnsi" w:eastAsia="Times New Roman" w:hAnsiTheme="majorHAnsi" w:cstheme="majorHAnsi"/>
          <w:b/>
          <w:bCs/>
          <w:szCs w:val="24"/>
        </w:rPr>
      </w:pPr>
      <w:r w:rsidRPr="00D51A9B">
        <w:rPr>
          <w:rFonts w:asciiTheme="majorHAnsi" w:eastAsia="Times New Roman" w:hAnsiTheme="majorHAnsi" w:cstheme="majorHAnsi"/>
          <w:b/>
          <w:bCs/>
          <w:szCs w:val="24"/>
        </w:rPr>
        <w:t xml:space="preserve">- budowę </w:t>
      </w:r>
      <w:r>
        <w:rPr>
          <w:rFonts w:asciiTheme="majorHAnsi" w:eastAsia="Times New Roman" w:hAnsiTheme="majorHAnsi" w:cstheme="majorHAnsi"/>
          <w:b/>
          <w:bCs/>
          <w:szCs w:val="24"/>
        </w:rPr>
        <w:t xml:space="preserve">lub przebudowę </w:t>
      </w:r>
      <w:r w:rsidRPr="00D51A9B">
        <w:rPr>
          <w:rFonts w:asciiTheme="majorHAnsi" w:eastAsia="Times New Roman" w:hAnsiTheme="majorHAnsi" w:cstheme="majorHAnsi"/>
          <w:b/>
          <w:bCs/>
          <w:szCs w:val="24"/>
        </w:rPr>
        <w:t xml:space="preserve">drogi składającej się co najmniej z jezdni o długości min. 400 </w:t>
      </w:r>
      <w:proofErr w:type="spellStart"/>
      <w:r w:rsidRPr="00D51A9B">
        <w:rPr>
          <w:rFonts w:asciiTheme="majorHAnsi" w:eastAsia="Times New Roman" w:hAnsiTheme="majorHAnsi" w:cstheme="majorHAnsi"/>
          <w:b/>
          <w:bCs/>
          <w:szCs w:val="24"/>
        </w:rPr>
        <w:t>mb</w:t>
      </w:r>
      <w:proofErr w:type="spellEnd"/>
      <w:r w:rsidRPr="00D51A9B">
        <w:rPr>
          <w:rFonts w:asciiTheme="majorHAnsi" w:eastAsia="Times New Roman" w:hAnsiTheme="majorHAnsi" w:cstheme="majorHAnsi"/>
          <w:b/>
          <w:bCs/>
          <w:szCs w:val="24"/>
        </w:rPr>
        <w:t xml:space="preserve"> i chodnika, zbudowanych z kostki betonowej,</w:t>
      </w:r>
    </w:p>
    <w:p w14:paraId="3915697D" w14:textId="77777777" w:rsidR="00D51A9B" w:rsidRPr="00D51A9B" w:rsidRDefault="00D51A9B" w:rsidP="00D51A9B">
      <w:pPr>
        <w:spacing w:line="240" w:lineRule="auto"/>
        <w:ind w:left="567"/>
        <w:jc w:val="both"/>
        <w:rPr>
          <w:rFonts w:asciiTheme="majorHAnsi" w:eastAsia="Times New Roman" w:hAnsiTheme="majorHAnsi" w:cstheme="majorHAnsi"/>
          <w:b/>
          <w:bCs/>
          <w:szCs w:val="24"/>
        </w:rPr>
      </w:pPr>
      <w:r w:rsidRPr="00D51A9B">
        <w:rPr>
          <w:rFonts w:asciiTheme="majorHAnsi" w:eastAsia="Times New Roman" w:hAnsiTheme="majorHAnsi" w:cstheme="majorHAnsi"/>
          <w:b/>
          <w:bCs/>
          <w:szCs w:val="24"/>
        </w:rPr>
        <w:t xml:space="preserve">- budowę kanalizacji deszczowej lub sanitarnej o dł. min. 400 </w:t>
      </w:r>
      <w:proofErr w:type="spellStart"/>
      <w:r w:rsidRPr="00D51A9B">
        <w:rPr>
          <w:rFonts w:asciiTheme="majorHAnsi" w:eastAsia="Times New Roman" w:hAnsiTheme="majorHAnsi" w:cstheme="majorHAnsi"/>
          <w:b/>
          <w:bCs/>
          <w:szCs w:val="24"/>
        </w:rPr>
        <w:t>mb</w:t>
      </w:r>
      <w:bookmarkEnd w:id="14"/>
      <w:proofErr w:type="spellEnd"/>
      <w:r w:rsidRPr="00D51A9B">
        <w:rPr>
          <w:rFonts w:asciiTheme="majorHAnsi" w:eastAsia="Times New Roman" w:hAnsiTheme="majorHAnsi" w:cstheme="majorHAnsi"/>
          <w:b/>
          <w:bCs/>
          <w:szCs w:val="24"/>
        </w:rPr>
        <w:t>.</w:t>
      </w:r>
    </w:p>
    <w:p w14:paraId="057CA0DA" w14:textId="77777777" w:rsidR="00D51A9B" w:rsidRPr="00D51A9B" w:rsidRDefault="00D51A9B" w:rsidP="00D51A9B">
      <w:pPr>
        <w:spacing w:line="240" w:lineRule="auto"/>
        <w:ind w:left="567"/>
        <w:jc w:val="both"/>
        <w:rPr>
          <w:rFonts w:asciiTheme="majorHAnsi" w:eastAsia="Times New Roman" w:hAnsiTheme="majorHAnsi" w:cstheme="majorHAnsi"/>
          <w:b/>
          <w:bCs/>
          <w:szCs w:val="24"/>
        </w:rPr>
      </w:pPr>
    </w:p>
    <w:p w14:paraId="193386C4" w14:textId="07585AD2"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458E2247" w:rsidR="00EF4BB5" w:rsidRP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5D195230" w14:textId="68C5D030" w:rsidR="00A258D6" w:rsidRPr="00A258D6" w:rsidRDefault="00A258D6" w:rsidP="00D109AB">
      <w:pPr>
        <w:spacing w:line="240" w:lineRule="auto"/>
        <w:jc w:val="both"/>
        <w:rPr>
          <w:rFonts w:asciiTheme="majorHAnsi" w:eastAsia="Times New Roman" w:hAnsiTheme="majorHAnsi" w:cstheme="majorHAnsi"/>
        </w:rPr>
      </w:pPr>
    </w:p>
    <w:p w14:paraId="343891DE" w14:textId="77777777" w:rsidR="00A258D6" w:rsidRP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3"/>
    <w:p w14:paraId="7940D440" w14:textId="77777777" w:rsidR="00A258D6" w:rsidRPr="00A258D6" w:rsidRDefault="00A258D6" w:rsidP="00A258D6">
      <w:pPr>
        <w:spacing w:line="240" w:lineRule="auto"/>
        <w:jc w:val="both"/>
        <w:rPr>
          <w:rFonts w:asciiTheme="majorHAnsi" w:eastAsia="Times New Roman" w:hAnsiTheme="majorHAnsi" w:cstheme="majorHAnsi"/>
          <w:b/>
        </w:rPr>
      </w:pPr>
    </w:p>
    <w:p w14:paraId="471B9CF3" w14:textId="77777777"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b/>
        </w:rPr>
        <w:t xml:space="preserve">b) </w:t>
      </w:r>
      <w:r w:rsidRPr="00A258D6">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3BAA6D0E" w14:textId="0E2C2DD4" w:rsidR="0068752A" w:rsidRPr="0068752A" w:rsidRDefault="0068752A" w:rsidP="0068752A">
      <w:pPr>
        <w:spacing w:line="240" w:lineRule="auto"/>
        <w:ind w:left="567"/>
        <w:jc w:val="both"/>
        <w:rPr>
          <w:rFonts w:asciiTheme="majorHAnsi" w:eastAsia="Times New Roman" w:hAnsiTheme="majorHAnsi" w:cstheme="majorHAnsi"/>
          <w:b/>
          <w:szCs w:val="24"/>
        </w:rPr>
      </w:pPr>
      <w:r w:rsidRPr="0068752A">
        <w:rPr>
          <w:rFonts w:asciiTheme="majorHAnsi" w:eastAsia="Times New Roman" w:hAnsiTheme="majorHAnsi" w:cstheme="majorHAnsi"/>
          <w:szCs w:val="24"/>
        </w:rPr>
        <w:t xml:space="preserve">- </w:t>
      </w:r>
      <w:r w:rsidRPr="0068752A">
        <w:rPr>
          <w:rFonts w:asciiTheme="majorHAnsi" w:eastAsia="Times New Roman" w:hAnsiTheme="majorHAnsi" w:cstheme="majorHAnsi"/>
          <w:b/>
          <w:szCs w:val="24"/>
        </w:rPr>
        <w:t xml:space="preserve">kierownikiem budowy - </w:t>
      </w:r>
      <w:r w:rsidRPr="0068752A">
        <w:rPr>
          <w:rFonts w:asciiTheme="majorHAnsi" w:eastAsia="Times New Roman" w:hAnsiTheme="majorHAnsi" w:cstheme="majorHAnsi"/>
          <w:b/>
          <w:bCs/>
          <w:szCs w:val="24"/>
        </w:rPr>
        <w:t>min. jedna osoba posiadająca</w:t>
      </w:r>
      <w:r w:rsidRPr="0068752A">
        <w:rPr>
          <w:rFonts w:asciiTheme="majorHAnsi" w:eastAsia="Times New Roman" w:hAnsiTheme="majorHAnsi" w:cstheme="majorHAnsi"/>
          <w:b/>
          <w:szCs w:val="24"/>
        </w:rPr>
        <w:t xml:space="preserve"> wymagane uprawnienia budowlane w specjalności drogowej</w:t>
      </w:r>
      <w:r>
        <w:rPr>
          <w:rFonts w:asciiTheme="majorHAnsi" w:eastAsia="Times New Roman" w:hAnsiTheme="majorHAnsi" w:cstheme="majorHAnsi"/>
          <w:b/>
          <w:szCs w:val="24"/>
        </w:rPr>
        <w:t xml:space="preserve"> bez ograniczeń</w:t>
      </w:r>
      <w:r w:rsidRPr="0068752A">
        <w:rPr>
          <w:rFonts w:asciiTheme="majorHAnsi" w:eastAsia="Times New Roman" w:hAnsiTheme="majorHAnsi" w:cstheme="majorHAnsi"/>
          <w:b/>
          <w:szCs w:val="24"/>
        </w:rPr>
        <w:t>,</w:t>
      </w:r>
    </w:p>
    <w:p w14:paraId="2728E562" w14:textId="772FCFFA" w:rsidR="0068752A" w:rsidRPr="0068752A" w:rsidRDefault="0068752A" w:rsidP="0068752A">
      <w:pPr>
        <w:ind w:left="567"/>
        <w:jc w:val="both"/>
        <w:rPr>
          <w:rFonts w:asciiTheme="majorHAnsi" w:hAnsiTheme="majorHAnsi" w:cstheme="majorHAnsi"/>
        </w:rPr>
      </w:pPr>
      <w:r w:rsidRPr="0068752A">
        <w:rPr>
          <w:rFonts w:asciiTheme="majorHAnsi" w:hAnsiTheme="majorHAnsi" w:cstheme="majorHAnsi"/>
          <w:b/>
          <w:bCs/>
        </w:rPr>
        <w:lastRenderedPageBreak/>
        <w:t xml:space="preserve">- </w:t>
      </w:r>
      <w:r w:rsidRPr="0068752A">
        <w:rPr>
          <w:rFonts w:asciiTheme="majorHAnsi" w:eastAsia="Times New Roman" w:hAnsiTheme="majorHAnsi" w:cstheme="majorHAnsi"/>
          <w:b/>
          <w:szCs w:val="24"/>
        </w:rPr>
        <w:t>kierownikiem robót</w:t>
      </w:r>
      <w:r w:rsidRPr="0068752A">
        <w:rPr>
          <w:rFonts w:asciiTheme="majorHAnsi" w:hAnsiTheme="majorHAnsi" w:cstheme="majorHAnsi"/>
          <w:b/>
          <w:bCs/>
          <w:color w:val="FF0000"/>
        </w:rPr>
        <w:t xml:space="preserve"> </w:t>
      </w:r>
      <w:r w:rsidRPr="0068752A">
        <w:rPr>
          <w:rFonts w:asciiTheme="majorHAnsi" w:hAnsiTheme="majorHAnsi" w:cstheme="majorHAnsi"/>
          <w:b/>
          <w:bCs/>
        </w:rPr>
        <w:t xml:space="preserve">- min. jedna osoba posiadająca uprawnienia budowlane w zakresie sieci, instalacji i urządzeń  kanalizacyjnych. </w:t>
      </w:r>
      <w:r w:rsidRPr="0068752A">
        <w:rPr>
          <w:rFonts w:asciiTheme="majorHAnsi" w:hAnsiTheme="majorHAnsi" w:cstheme="majorHAnsi"/>
        </w:rPr>
        <w:t> </w:t>
      </w:r>
    </w:p>
    <w:p w14:paraId="695564A2" w14:textId="77777777" w:rsidR="00A258D6" w:rsidRPr="00A258D6" w:rsidRDefault="00A258D6" w:rsidP="00A258D6">
      <w:pPr>
        <w:spacing w:line="240" w:lineRule="auto"/>
        <w:jc w:val="both"/>
        <w:rPr>
          <w:rFonts w:asciiTheme="majorHAnsi" w:eastAsia="Times New Roman" w:hAnsiTheme="majorHAnsi" w:cstheme="majorHAnsi"/>
          <w:b/>
        </w:rPr>
      </w:pPr>
    </w:p>
    <w:p w14:paraId="0C0292D1" w14:textId="4E0CBC6B"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220</w:t>
      </w:r>
      <w:r w:rsidR="0039496C">
        <w:rPr>
          <w:rFonts w:asciiTheme="majorHAnsi" w:eastAsia="Times New Roman" w:hAnsiTheme="majorHAnsi" w:cstheme="majorHAnsi"/>
        </w:rPr>
        <w:t xml:space="preserve"> z </w:t>
      </w:r>
      <w:proofErr w:type="spellStart"/>
      <w:r w:rsidR="0039496C">
        <w:rPr>
          <w:rFonts w:asciiTheme="majorHAnsi" w:eastAsia="Times New Roman" w:hAnsiTheme="majorHAnsi" w:cstheme="majorHAnsi"/>
        </w:rPr>
        <w:t>późn</w:t>
      </w:r>
      <w:proofErr w:type="spellEnd"/>
      <w:r w:rsidR="0039496C">
        <w:rPr>
          <w:rFonts w:asciiTheme="majorHAnsi" w:eastAsia="Times New Roman" w:hAnsiTheme="majorHAnsi" w:cstheme="majorHAnsi"/>
        </w:rPr>
        <w:t xml:space="preserve">. </w:t>
      </w:r>
      <w:proofErr w:type="spellStart"/>
      <w:r w:rsidR="0039496C">
        <w:rPr>
          <w:rFonts w:asciiTheme="majorHAnsi" w:eastAsia="Times New Roman" w:hAnsiTheme="majorHAnsi" w:cstheme="majorHAnsi"/>
        </w:rPr>
        <w:t>zm</w:t>
      </w:r>
      <w:proofErr w:type="spellEnd"/>
      <w:r w:rsidRPr="00A258D6">
        <w:rPr>
          <w:rFonts w:asciiTheme="majorHAnsi" w:eastAsia="Times New Roman" w:hAnsiTheme="majorHAnsi" w:cstheme="majorHAnsi"/>
        </w:rPr>
        <w:t xml:space="preserve">), umożliwiające realizację niniejszego zamówienia. </w:t>
      </w:r>
    </w:p>
    <w:p w14:paraId="0A341A21" w14:textId="77777777" w:rsidR="00EF4BB5" w:rsidRDefault="00EF4BB5" w:rsidP="00EF4BB5">
      <w:pPr>
        <w:spacing w:line="240" w:lineRule="auto"/>
        <w:ind w:left="567"/>
        <w:jc w:val="both"/>
        <w:rPr>
          <w:rFonts w:asciiTheme="majorHAnsi" w:eastAsia="Times New Roman" w:hAnsiTheme="majorHAnsi" w:cstheme="majorHAnsi"/>
          <w:szCs w:val="24"/>
        </w:rPr>
      </w:pPr>
      <w:bookmarkStart w:id="15" w:name="_Hlk53567073"/>
    </w:p>
    <w:p w14:paraId="2127AE46" w14:textId="33BC7357" w:rsidR="00EF4BB5" w:rsidRP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 xml:space="preserve">2 pkt.4 </w:t>
      </w:r>
      <w:r>
        <w:rPr>
          <w:rFonts w:asciiTheme="majorHAnsi" w:eastAsia="Times New Roman" w:hAnsiTheme="majorHAnsi" w:cstheme="majorHAnsi"/>
          <w:szCs w:val="24"/>
        </w:rPr>
        <w:t>b</w:t>
      </w:r>
      <w:r>
        <w:rPr>
          <w:rFonts w:asciiTheme="majorHAnsi" w:eastAsia="Times New Roman" w:hAnsiTheme="majorHAnsi" w:cstheme="majorHAnsi"/>
          <w:szCs w:val="24"/>
        </w:rPr>
        <w:t>)</w:t>
      </w:r>
      <w:r w:rsidRPr="00EF4BB5">
        <w:rPr>
          <w:rFonts w:asciiTheme="majorHAnsi" w:eastAsia="Times New Roman" w:hAnsiTheme="majorHAnsi" w:cstheme="majorHAnsi"/>
          <w:szCs w:val="24"/>
        </w:rPr>
        <w:t xml:space="preserve"> SWZ, </w:t>
      </w:r>
      <w:r w:rsidR="00D109AB">
        <w:rPr>
          <w:rFonts w:asciiTheme="majorHAnsi" w:eastAsia="Times New Roman" w:hAnsiTheme="majorHAnsi" w:cstheme="majorHAnsi"/>
          <w:szCs w:val="24"/>
          <w:u w:val="single"/>
        </w:rPr>
        <w:t>może zostać spełniony łącznie przez Wykonawców .</w:t>
      </w:r>
    </w:p>
    <w:p w14:paraId="59C707FB" w14:textId="596CADD5" w:rsidR="00A258D6" w:rsidRDefault="00A258D6" w:rsidP="00A258D6">
      <w:pPr>
        <w:spacing w:line="240" w:lineRule="auto"/>
        <w:jc w:val="both"/>
        <w:rPr>
          <w:rFonts w:asciiTheme="majorHAnsi" w:eastAsia="Times New Roman" w:hAnsiTheme="majorHAnsi" w:cstheme="majorHAnsi"/>
        </w:rPr>
      </w:pPr>
    </w:p>
    <w:p w14:paraId="3955A869" w14:textId="77777777" w:rsidR="00EF4BB5" w:rsidRPr="00A258D6" w:rsidRDefault="00EF4BB5" w:rsidP="00A258D6">
      <w:pPr>
        <w:spacing w:line="240" w:lineRule="auto"/>
        <w:jc w:val="both"/>
        <w:rPr>
          <w:rFonts w:asciiTheme="majorHAnsi" w:eastAsia="Times New Roman" w:hAnsiTheme="majorHAnsi" w:cstheme="majorHAnsi"/>
        </w:rPr>
      </w:pPr>
    </w:p>
    <w:bookmarkEnd w:id="15"/>
    <w:p w14:paraId="438A20E5" w14:textId="77777777" w:rsidR="00A258D6" w:rsidRPr="00A258D6" w:rsidRDefault="00A258D6" w:rsidP="00A258D6">
      <w:pPr>
        <w:spacing w:line="240" w:lineRule="auto"/>
        <w:ind w:left="539"/>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AE8D73" w14:textId="77777777" w:rsidR="00D767C0" w:rsidRPr="00A258D6" w:rsidRDefault="00D767C0" w:rsidP="00881111">
      <w:pPr>
        <w:spacing w:line="319" w:lineRule="auto"/>
        <w:jc w:val="both"/>
        <w:rPr>
          <w:rFonts w:asciiTheme="majorHAnsi" w:eastAsia="Times New Roman" w:hAnsiTheme="majorHAnsi" w:cstheme="majorHAnsi"/>
          <w:b/>
          <w:u w:val="single"/>
        </w:rPr>
      </w:pPr>
    </w:p>
    <w:p w14:paraId="0000008E" w14:textId="2CC2CC07" w:rsidR="001C5D72" w:rsidRPr="00A258D6" w:rsidRDefault="00FC4AB9" w:rsidP="00F76792">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6" w:name="_Toc65495854"/>
      <w:r w:rsidRPr="0039496C">
        <w:rPr>
          <w:rFonts w:asciiTheme="majorHAnsi" w:hAnsiTheme="majorHAnsi" w:cstheme="majorHAnsi"/>
          <w:b/>
          <w:bCs/>
          <w:sz w:val="24"/>
          <w:szCs w:val="24"/>
        </w:rPr>
        <w:t>IX. Podstawy wykluczenia z postępowania</w:t>
      </w:r>
      <w:bookmarkEnd w:id="16"/>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A258D6" w:rsidRDefault="00FC4AB9" w:rsidP="00F76792">
      <w:pPr>
        <w:numPr>
          <w:ilvl w:val="0"/>
          <w:numId w:val="19"/>
        </w:numPr>
        <w:spacing w:line="319" w:lineRule="auto"/>
        <w:ind w:left="426" w:hanging="426"/>
        <w:jc w:val="both"/>
        <w:rPr>
          <w:rFonts w:asciiTheme="majorHAnsi" w:hAnsiTheme="majorHAnsi" w:cstheme="majorHAnsi"/>
        </w:rPr>
      </w:pPr>
      <w:r w:rsidRPr="00A258D6">
        <w:rPr>
          <w:rFonts w:asciiTheme="majorHAnsi" w:hAnsiTheme="majorHAnsi" w:cstheme="majorHAnsi"/>
          <w:b/>
          <w:bCs/>
        </w:rPr>
        <w:t>w art. 109 ust. 1 pkt. 4 PZP</w:t>
      </w:r>
      <w:r w:rsidRPr="00A258D6">
        <w:rPr>
          <w:rFonts w:asciiTheme="majorHAnsi" w:hAnsiTheme="majorHAnsi" w:cstheme="majorHAnsi"/>
        </w:rPr>
        <w:t>, tj.:</w:t>
      </w:r>
      <w:r w:rsidR="00961F0D" w:rsidRPr="00A258D6">
        <w:rPr>
          <w:rFonts w:asciiTheme="majorHAnsi" w:hAnsiTheme="majorHAnsi" w:cstheme="majorHAnsi"/>
        </w:rPr>
        <w:t xml:space="preserve"> </w:t>
      </w:r>
      <w:r w:rsidRPr="00A258D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6C1BE065"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nie podlega wykluczeniu w okolicznościach określonych w art. 108 ust. 1 pkt. 1, 2 i 5 lub art. 109 ust. 1 pkt. </w:t>
      </w:r>
      <w:r w:rsidR="00703329" w:rsidRPr="00A258D6">
        <w:rPr>
          <w:rFonts w:asciiTheme="majorHAnsi" w:hAnsiTheme="majorHAnsi" w:cstheme="majorHAnsi"/>
        </w:rPr>
        <w:t>4</w:t>
      </w:r>
      <w:r w:rsidRPr="00A258D6">
        <w:rPr>
          <w:rFonts w:asciiTheme="majorHAnsi" w:hAnsiTheme="majorHAnsi" w:cstheme="majorHAnsi"/>
        </w:rPr>
        <w:t>,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7"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6BC750C9"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0000009C" w14:textId="22C31662" w:rsidR="001C5D72" w:rsidRPr="00A258D6" w:rsidRDefault="00FC4AB9" w:rsidP="00F76792">
      <w:pPr>
        <w:numPr>
          <w:ilvl w:val="2"/>
          <w:numId w:val="18"/>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Oświadczenie wykonawcy, w zakresie art. 108 ust. 1 pkt 5 ustawy</w:t>
      </w:r>
      <w:r w:rsidRPr="00A258D6">
        <w:rPr>
          <w:rFonts w:asciiTheme="majorHAnsi" w:hAnsiTheme="majorHAnsi" w:cstheme="majorHAnsi"/>
        </w:rPr>
        <w:t>, o braku przynależności do tej samej grupy kapitałowej, w rozumieniu ustawy z dnia 16 lutego 2007 r. o ochronie konkurencji i konsumentów (Dz. U. z 2019 r. poz. 369), z innym Wykonawc</w:t>
      </w:r>
      <w:r w:rsidR="00F67F03" w:rsidRPr="00A258D6">
        <w:rPr>
          <w:rFonts w:asciiTheme="majorHAnsi" w:hAnsiTheme="majorHAnsi" w:cstheme="majorHAnsi"/>
        </w:rPr>
        <w:t>ą</w:t>
      </w:r>
      <w:r w:rsidRPr="00A258D6">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A258D6">
        <w:rPr>
          <w:rFonts w:asciiTheme="majorHAnsi" w:hAnsiTheme="majorHAnsi" w:cstheme="majorHAnsi"/>
        </w:rPr>
        <w:lastRenderedPageBreak/>
        <w:t xml:space="preserve">dopuszczenie do udziału w postępowaniu niezależnie od innego wykonawcy należącego do tej samej grupy kapitałowej – </w:t>
      </w:r>
      <w:r w:rsidRPr="00A258D6">
        <w:rPr>
          <w:rFonts w:asciiTheme="majorHAnsi" w:hAnsiTheme="majorHAnsi" w:cstheme="majorHAnsi"/>
          <w:b/>
        </w:rPr>
        <w:t xml:space="preserve">załącznik nr </w:t>
      </w:r>
      <w:r w:rsidR="00CB268F" w:rsidRPr="00A258D6">
        <w:rPr>
          <w:rFonts w:asciiTheme="majorHAnsi" w:hAnsiTheme="majorHAnsi" w:cstheme="majorHAnsi"/>
          <w:b/>
        </w:rPr>
        <w:t>5</w:t>
      </w:r>
      <w:r w:rsidRPr="00A258D6">
        <w:rPr>
          <w:rFonts w:asciiTheme="majorHAnsi" w:hAnsiTheme="majorHAnsi" w:cstheme="majorHAnsi"/>
          <w:b/>
        </w:rPr>
        <w:t xml:space="preserve"> do SWZ</w:t>
      </w:r>
      <w:r w:rsidRPr="00A258D6">
        <w:rPr>
          <w:rFonts w:asciiTheme="majorHAnsi" w:hAnsiTheme="majorHAnsi" w:cstheme="majorHAnsi"/>
        </w:rPr>
        <w:t>;</w:t>
      </w:r>
    </w:p>
    <w:p w14:paraId="0000009D" w14:textId="7660B33D" w:rsidR="001C5D72" w:rsidRDefault="00FC4AB9" w:rsidP="00F76792">
      <w:pPr>
        <w:numPr>
          <w:ilvl w:val="2"/>
          <w:numId w:val="18"/>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 xml:space="preserve">Odpis </w:t>
      </w:r>
      <w:r w:rsidRPr="00A258D6">
        <w:rPr>
          <w:rFonts w:asciiTheme="majorHAnsi" w:hAnsiTheme="majorHAnsi" w:cstheme="majorHAnsi"/>
        </w:rPr>
        <w:t>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4FB20A" w14:textId="4BBA9876" w:rsidR="00826B05" w:rsidRPr="00826B05" w:rsidRDefault="001767E2" w:rsidP="00F76792">
      <w:pPr>
        <w:numPr>
          <w:ilvl w:val="2"/>
          <w:numId w:val="18"/>
        </w:numPr>
        <w:spacing w:line="319" w:lineRule="auto"/>
        <w:ind w:left="710" w:hanging="435"/>
        <w:jc w:val="both"/>
        <w:rPr>
          <w:rFonts w:asciiTheme="majorHAnsi" w:hAnsiTheme="majorHAnsi" w:cstheme="majorHAnsi"/>
        </w:rPr>
      </w:pPr>
      <w:r>
        <w:rPr>
          <w:rFonts w:asciiTheme="majorHAnsi" w:hAnsiTheme="majorHAnsi" w:cstheme="majorHAnsi"/>
          <w:b/>
          <w:bCs/>
        </w:rPr>
        <w:t>W</w:t>
      </w:r>
      <w:r w:rsidR="00826B05" w:rsidRPr="00826B05">
        <w:rPr>
          <w:rFonts w:asciiTheme="majorHAnsi" w:hAnsiTheme="majorHAnsi" w:cstheme="majorHAnsi"/>
          <w:b/>
          <w:bCs/>
        </w:rPr>
        <w:t>ykaz robót budowlanych</w:t>
      </w:r>
      <w:r w:rsidR="00826B05" w:rsidRPr="00826B05">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826B05">
        <w:rPr>
          <w:rFonts w:asciiTheme="majorHAnsi" w:hAnsiTheme="majorHAnsi" w:cstheme="majorHAnsi"/>
          <w:b/>
          <w:bCs/>
        </w:rPr>
        <w:t xml:space="preserve">załącznik nr </w:t>
      </w:r>
      <w:r w:rsidR="00826B05">
        <w:rPr>
          <w:rFonts w:asciiTheme="majorHAnsi" w:hAnsiTheme="majorHAnsi" w:cstheme="majorHAnsi"/>
          <w:b/>
          <w:bCs/>
        </w:rPr>
        <w:t>6</w:t>
      </w:r>
      <w:r w:rsidR="00826B05" w:rsidRPr="00826B05">
        <w:rPr>
          <w:rFonts w:asciiTheme="majorHAnsi" w:hAnsiTheme="majorHAnsi" w:cstheme="majorHAnsi"/>
          <w:b/>
          <w:bCs/>
        </w:rPr>
        <w:t xml:space="preserve"> do SWZ.</w:t>
      </w:r>
    </w:p>
    <w:p w14:paraId="156DE820"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F591979" w14:textId="1CA19782" w:rsidR="00DE2D91" w:rsidRPr="00A258D6" w:rsidRDefault="001767E2" w:rsidP="00F76792">
      <w:pPr>
        <w:numPr>
          <w:ilvl w:val="2"/>
          <w:numId w:val="18"/>
        </w:numPr>
        <w:spacing w:line="319" w:lineRule="auto"/>
        <w:ind w:left="710" w:hanging="435"/>
        <w:jc w:val="both"/>
        <w:rPr>
          <w:rFonts w:asciiTheme="majorHAnsi" w:hAnsiTheme="majorHAnsi" w:cstheme="majorHAnsi"/>
        </w:rPr>
      </w:pPr>
      <w:r>
        <w:rPr>
          <w:rFonts w:asciiTheme="majorHAnsi" w:hAnsiTheme="majorHAnsi" w:cstheme="majorHAnsi"/>
          <w:b/>
          <w:bCs/>
        </w:rPr>
        <w:t>W</w:t>
      </w:r>
      <w:r w:rsidR="009A74E5" w:rsidRPr="00C466C5">
        <w:rPr>
          <w:rFonts w:asciiTheme="majorHAnsi" w:hAnsiTheme="majorHAnsi" w:cstheme="majorHAnsi"/>
          <w:b/>
          <w:bCs/>
        </w:rPr>
        <w:t>ykazu osób</w:t>
      </w:r>
      <w:r w:rsidR="009A74E5"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A74E5" w:rsidRPr="00A258D6">
        <w:rPr>
          <w:rFonts w:asciiTheme="majorHAnsi" w:hAnsiTheme="majorHAnsi" w:cstheme="majorHAnsi"/>
          <w:b/>
        </w:rPr>
        <w:t xml:space="preserve">załącznik nr </w:t>
      </w:r>
      <w:r w:rsidR="001107AD" w:rsidRPr="00A258D6">
        <w:rPr>
          <w:rFonts w:asciiTheme="majorHAnsi" w:hAnsiTheme="majorHAnsi" w:cstheme="majorHAnsi"/>
          <w:b/>
        </w:rPr>
        <w:t>9</w:t>
      </w:r>
      <w:r w:rsidR="009A74E5" w:rsidRPr="00A258D6">
        <w:rPr>
          <w:rFonts w:asciiTheme="majorHAnsi" w:hAnsiTheme="majorHAnsi" w:cstheme="majorHAnsi"/>
          <w:b/>
        </w:rPr>
        <w:t xml:space="preserve"> do SWZ</w:t>
      </w:r>
      <w:r w:rsidR="00C466C5">
        <w:rPr>
          <w:rFonts w:asciiTheme="majorHAnsi" w:hAnsiTheme="majorHAnsi" w:cstheme="majorHAnsi"/>
        </w:rPr>
        <w:t>.</w:t>
      </w:r>
    </w:p>
    <w:p w14:paraId="000000A0" w14:textId="22EE124F" w:rsidR="001C5D72" w:rsidRPr="00A258D6" w:rsidRDefault="00FC4AB9" w:rsidP="00F76792">
      <w:pPr>
        <w:numPr>
          <w:ilvl w:val="0"/>
          <w:numId w:val="18"/>
        </w:numPr>
        <w:spacing w:line="319" w:lineRule="auto"/>
        <w:ind w:left="434"/>
        <w:jc w:val="both"/>
        <w:rPr>
          <w:rFonts w:asciiTheme="majorHAnsi" w:hAnsiTheme="majorHAnsi" w:cstheme="majorHAnsi"/>
        </w:rPr>
      </w:pPr>
      <w:r w:rsidRPr="00A258D6">
        <w:rPr>
          <w:rFonts w:asciiTheme="majorHAnsi" w:hAnsiTheme="majorHAnsi" w:cstheme="majorHAnsi"/>
        </w:rPr>
        <w:t xml:space="preserve">Jeżeli Wykonawca ma siedzibę lub miejsce zamieszkania poza terytorium Rzeczypospolitej Polskiej, zamiast dokumentu, o których mowa w ust. </w:t>
      </w:r>
      <w:r w:rsidR="00DE2D91" w:rsidRPr="00A258D6">
        <w:rPr>
          <w:rFonts w:asciiTheme="majorHAnsi" w:hAnsiTheme="majorHAnsi" w:cstheme="majorHAnsi"/>
        </w:rPr>
        <w:t>4</w:t>
      </w:r>
      <w:r w:rsidRPr="00A258D6">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A258D6">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258D6">
        <w:rPr>
          <w:rFonts w:asciiTheme="majorHAnsi" w:hAnsiTheme="majorHAnsi" w:cstheme="majorHAnsi"/>
        </w:rPr>
        <w:t xml:space="preserve">. Dokument, o którym mowa powyżej, powinien być wystawiony nie wcześniej niż </w:t>
      </w:r>
      <w:r w:rsidR="00296060" w:rsidRPr="00A258D6">
        <w:rPr>
          <w:rFonts w:asciiTheme="majorHAnsi" w:hAnsiTheme="majorHAnsi" w:cstheme="majorHAnsi"/>
        </w:rPr>
        <w:t>3</w:t>
      </w:r>
      <w:r w:rsidRPr="00A258D6">
        <w:rPr>
          <w:rFonts w:asciiTheme="majorHAnsi" w:hAnsiTheme="majorHAnsi" w:cstheme="majorHAnsi"/>
        </w:rPr>
        <w:t xml:space="preserve"> miesięcy przed </w:t>
      </w:r>
      <w:r w:rsidR="00923863" w:rsidRPr="00A258D6">
        <w:rPr>
          <w:rFonts w:asciiTheme="majorHAnsi" w:hAnsiTheme="majorHAnsi" w:cstheme="majorHAnsi"/>
        </w:rPr>
        <w:t>ich złożeniem</w:t>
      </w:r>
      <w:r w:rsidR="009A31BF" w:rsidRPr="00A258D6">
        <w:rPr>
          <w:rFonts w:asciiTheme="majorHAnsi" w:hAnsiTheme="majorHAnsi" w:cstheme="majorHAnsi"/>
        </w:rPr>
        <w:t>.</w:t>
      </w:r>
    </w:p>
    <w:p w14:paraId="1310AE29" w14:textId="72343D02" w:rsidR="00CA7098" w:rsidRPr="00A258D6" w:rsidRDefault="00CA7098" w:rsidP="00F76792">
      <w:pPr>
        <w:numPr>
          <w:ilvl w:val="0"/>
          <w:numId w:val="18"/>
        </w:numPr>
        <w:spacing w:line="319" w:lineRule="auto"/>
        <w:ind w:left="434"/>
        <w:jc w:val="both"/>
        <w:rPr>
          <w:rFonts w:asciiTheme="majorHAnsi" w:hAnsiTheme="majorHAnsi" w:cstheme="majorHAnsi"/>
        </w:rPr>
      </w:pPr>
      <w:r w:rsidRPr="00A258D6">
        <w:rPr>
          <w:rFonts w:asciiTheme="majorHAnsi" w:hAnsiTheme="majorHAnsi" w:cstheme="majorHAnsi"/>
        </w:rPr>
        <w:lastRenderedPageBreak/>
        <w:t xml:space="preserve">Jeżeli w kraju, w którym wykonawca ma siedzibę lub miejsce zamieszkania, nie wydaje się dokumentów, o których mowa w ust. </w:t>
      </w:r>
      <w:r w:rsidR="00612559" w:rsidRPr="00A258D6">
        <w:rPr>
          <w:rFonts w:asciiTheme="majorHAnsi" w:hAnsiTheme="majorHAnsi" w:cstheme="majorHAnsi"/>
        </w:rPr>
        <w:t>4 pkt. 2</w:t>
      </w:r>
      <w:r w:rsidRPr="00A258D6">
        <w:rPr>
          <w:rFonts w:asciiTheme="majorHAnsi" w:hAnsiTheme="majorHAnsi" w:cstheme="maj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23863" w:rsidRPr="00A258D6">
        <w:rPr>
          <w:rFonts w:asciiTheme="majorHAnsi" w:hAnsiTheme="majorHAnsi" w:cstheme="majorHAnsi"/>
        </w:rPr>
        <w:t xml:space="preserve"> Dokument, o którym mowa powyżej, powinien być wystawiony nie wcześniej niż 3 miesięcy przed. ich złożeniem</w:t>
      </w:r>
      <w:r w:rsidR="00E508E1" w:rsidRPr="00A258D6">
        <w:rPr>
          <w:rFonts w:asciiTheme="majorHAnsi" w:hAnsiTheme="majorHAnsi" w:cstheme="majorHAnsi"/>
        </w:rPr>
        <w:t>.</w:t>
      </w:r>
    </w:p>
    <w:p w14:paraId="000000A3" w14:textId="4AE55365" w:rsidR="001C5D72" w:rsidRPr="00A258D6" w:rsidRDefault="00FC4AB9" w:rsidP="00F76792">
      <w:pPr>
        <w:numPr>
          <w:ilvl w:val="0"/>
          <w:numId w:val="18"/>
        </w:numPr>
        <w:spacing w:line="319" w:lineRule="auto"/>
        <w:ind w:left="434"/>
        <w:jc w:val="both"/>
        <w:rPr>
          <w:rFonts w:asciiTheme="majorHAnsi" w:hAnsiTheme="majorHAnsi" w:cstheme="majorHAnsi"/>
        </w:rPr>
      </w:pPr>
      <w:r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Pr="00A258D6">
        <w:rPr>
          <w:rFonts w:asciiTheme="majorHAnsi" w:hAnsiTheme="majorHAnsi" w:cstheme="majorHAnsi"/>
        </w:rPr>
        <w:t>dane umożliwiające dostęp do tych środków;</w:t>
      </w:r>
    </w:p>
    <w:p w14:paraId="000000A5" w14:textId="308510DC" w:rsidR="001C5D72" w:rsidRPr="00A258D6" w:rsidRDefault="00FC4AB9" w:rsidP="00F76792">
      <w:pPr>
        <w:numPr>
          <w:ilvl w:val="0"/>
          <w:numId w:val="18"/>
        </w:numPr>
        <w:pBdr>
          <w:top w:val="nil"/>
          <w:left w:val="nil"/>
          <w:bottom w:val="nil"/>
          <w:right w:val="nil"/>
          <w:between w:val="nil"/>
        </w:pBdr>
        <w:spacing w:line="319" w:lineRule="auto"/>
        <w:ind w:left="434" w:hanging="434"/>
        <w:jc w:val="both"/>
        <w:rPr>
          <w:rFonts w:asciiTheme="majorHAnsi" w:hAnsiTheme="majorHAnsi" w:cstheme="majorHAnsi"/>
        </w:rPr>
      </w:pPr>
      <w:r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43821E5F" w14:textId="3B6956B3" w:rsidR="00923863" w:rsidRPr="00A258D6" w:rsidRDefault="00923863" w:rsidP="00F76792">
      <w:pPr>
        <w:pStyle w:val="Akapitzlist"/>
        <w:numPr>
          <w:ilvl w:val="0"/>
          <w:numId w:val="18"/>
        </w:numPr>
        <w:spacing w:after="0"/>
        <w:contextualSpacing w:val="0"/>
        <w:jc w:val="both"/>
        <w:rPr>
          <w:rFonts w:asciiTheme="majorHAnsi" w:hAnsiTheme="majorHAnsi" w:cstheme="majorHAnsi"/>
        </w:rPr>
      </w:pPr>
      <w:r w:rsidRPr="00A258D6">
        <w:rPr>
          <w:rFonts w:asciiTheme="majorHAnsi" w:hAnsiTheme="majorHAnsi" w:cstheme="majorHAnsi"/>
        </w:rPr>
        <w:t>Jeżeli jest to niezbędne do zapewnienia odpowiedniego przebiegu postępowania</w:t>
      </w:r>
      <w:r w:rsidR="001E189E" w:rsidRPr="00A258D6">
        <w:rPr>
          <w:rFonts w:asciiTheme="majorHAnsi" w:hAnsiTheme="majorHAnsi" w:cstheme="majorHAnsi"/>
        </w:rPr>
        <w:t xml:space="preserve"> </w:t>
      </w:r>
      <w:r w:rsidRPr="00A258D6">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A258D6" w:rsidRDefault="00923863" w:rsidP="00F76792">
      <w:pPr>
        <w:pStyle w:val="Akapitzlist"/>
        <w:numPr>
          <w:ilvl w:val="0"/>
          <w:numId w:val="18"/>
        </w:numPr>
        <w:spacing w:after="0" w:line="319" w:lineRule="auto"/>
        <w:ind w:left="426" w:hanging="426"/>
        <w:contextualSpacing w:val="0"/>
        <w:jc w:val="both"/>
        <w:rPr>
          <w:rFonts w:asciiTheme="majorHAnsi" w:hAnsiTheme="majorHAnsi" w:cstheme="majorHAnsi"/>
        </w:rPr>
      </w:pPr>
      <w:r w:rsidRPr="00A258D6">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708F7699" w:rsidR="00923863" w:rsidRPr="00A258D6" w:rsidRDefault="00923863" w:rsidP="00F76792">
      <w:pPr>
        <w:pStyle w:val="Akapitzlist"/>
        <w:numPr>
          <w:ilvl w:val="0"/>
          <w:numId w:val="18"/>
        </w:numPr>
        <w:spacing w:after="0" w:line="319" w:lineRule="auto"/>
        <w:contextualSpacing w:val="0"/>
        <w:jc w:val="both"/>
        <w:rPr>
          <w:rFonts w:asciiTheme="majorHAnsi" w:hAnsiTheme="majorHAnsi" w:cstheme="majorHAnsi"/>
        </w:rPr>
      </w:pPr>
      <w:r w:rsidRPr="00A258D6">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A258D6">
        <w:rPr>
          <w:rFonts w:asciiTheme="majorHAnsi" w:hAnsiTheme="majorHAnsi" w:cstheme="majorHAnsi"/>
        </w:rPr>
        <w:t xml:space="preserve"> </w:t>
      </w:r>
      <w:r w:rsidRPr="00A258D6">
        <w:rPr>
          <w:rFonts w:asciiTheme="majorHAnsi" w:hAnsiTheme="majorHAnsi" w:cstheme="majorHAnsi"/>
        </w:rPr>
        <w:t>w  postępowaniu lub braku podstaw wykluczenia, o przedstawienie takich informacji lub dokumentów.</w:t>
      </w:r>
    </w:p>
    <w:p w14:paraId="000000A6" w14:textId="37FE39A2" w:rsidR="001C5D72" w:rsidRPr="00A258D6" w:rsidRDefault="00FC4AB9" w:rsidP="00F76792">
      <w:pPr>
        <w:numPr>
          <w:ilvl w:val="0"/>
          <w:numId w:val="18"/>
        </w:numPr>
        <w:pBdr>
          <w:top w:val="nil"/>
          <w:left w:val="nil"/>
          <w:bottom w:val="nil"/>
          <w:right w:val="nil"/>
          <w:between w:val="nil"/>
        </w:pBdr>
        <w:spacing w:line="319" w:lineRule="auto"/>
        <w:ind w:left="434" w:hanging="434"/>
        <w:jc w:val="both"/>
        <w:rPr>
          <w:rFonts w:asciiTheme="majorHAnsi" w:hAnsiTheme="majorHAnsi" w:cstheme="majorHAnsi"/>
        </w:rPr>
      </w:pPr>
      <w:r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Pr="00A258D6">
        <w:rPr>
          <w:rFonts w:asciiTheme="majorHAnsi" w:hAnsiTheme="majorHAnsi" w:cstheme="majorHAnsi"/>
          <w:smallCaps/>
        </w:rPr>
        <w:t xml:space="preserve">  </w:t>
      </w:r>
      <w:r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8" w:name="_Toc65495856"/>
      <w:r w:rsidRPr="00A258D6">
        <w:rPr>
          <w:rFonts w:asciiTheme="majorHAnsi" w:hAnsiTheme="majorHAnsi" w:cstheme="majorHAnsi"/>
          <w:b/>
          <w:bCs/>
          <w:sz w:val="22"/>
          <w:szCs w:val="22"/>
        </w:rPr>
        <w:lastRenderedPageBreak/>
        <w:t>XI. Poleganie na zasobach innych podmiotów</w:t>
      </w:r>
      <w:bookmarkEnd w:id="18"/>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65CE1E1A"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C63B1C" w:rsidRPr="00A258D6">
        <w:rPr>
          <w:rFonts w:asciiTheme="majorHAnsi" w:hAnsiTheme="majorHAnsi" w:cstheme="majorHAnsi"/>
          <w:b/>
        </w:rPr>
        <w:t>7</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19" w:name="_Hlk65499459"/>
      <w:r w:rsidRPr="00A258D6">
        <w:rPr>
          <w:rFonts w:asciiTheme="majorHAnsi" w:hAnsiTheme="majorHAnsi" w:cstheme="majorHAnsi"/>
        </w:rPr>
        <w:t xml:space="preserve">Wykonawca powołuje się na jego zasoby, </w:t>
      </w:r>
      <w:bookmarkEnd w:id="19"/>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0"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74B23B6"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1" w:name="_Hlk63772459"/>
      <w:r w:rsidRPr="00A258D6">
        <w:rPr>
          <w:rFonts w:asciiTheme="majorHAnsi" w:hAnsiTheme="majorHAnsi" w:cstheme="majorHAnsi"/>
        </w:rPr>
        <w:t xml:space="preserve">Wykonawcy wspólnie ubiegający się o udzielenie zamówienia dołączają do oferty </w:t>
      </w:r>
      <w:bookmarkStart w:id="22"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załącznik nr 8 do SWZ.</w:t>
      </w:r>
    </w:p>
    <w:bookmarkEnd w:id="21"/>
    <w:bookmarkEnd w:id="22"/>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3" w:name="_Toc65495858"/>
      <w:bookmarkStart w:id="24"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3"/>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5"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6"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6"/>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w:t>
      </w:r>
      <w:r w:rsidRPr="00A258D6">
        <w:rPr>
          <w:rFonts w:asciiTheme="majorHAnsi" w:hAnsiTheme="majorHAnsi" w:cstheme="majorHAnsi"/>
        </w:rPr>
        <w:lastRenderedPageBreak/>
        <w:t>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7" w:name="_Hlk66973478"/>
      <w:r w:rsidRPr="00A258D6">
        <w:rPr>
          <w:rFonts w:asciiTheme="majorHAnsi" w:hAnsiTheme="majorHAnsi" w:cstheme="majorHAnsi"/>
        </w:rPr>
        <w:lastRenderedPageBreak/>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lastRenderedPageBreak/>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77777777" w:rsidR="00E7717C" w:rsidRPr="00A258D6"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897FAC">
        <w:rPr>
          <w:rFonts w:asciiTheme="majorHAnsi" w:hAnsiTheme="majorHAnsi" w:cstheme="majorHAnsi"/>
          <w:b/>
          <w:bCs/>
          <w:sz w:val="24"/>
          <w:szCs w:val="24"/>
        </w:rPr>
        <w:t>XIV. Opis sposobu przygotowania ofert oraz dokumentów wymaganych przez Zamawiającego w SWZ</w:t>
      </w:r>
      <w:bookmarkEnd w:id="28"/>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0" w:name="_Hlk65238743"/>
      <w:r w:rsidR="002F286A" w:rsidRPr="00A258D6">
        <w:rPr>
          <w:rFonts w:asciiTheme="majorHAnsi" w:hAnsiTheme="majorHAnsi" w:cstheme="majorHAnsi"/>
        </w:rPr>
        <w:t xml:space="preserve">oświadczenie o niepodleganiu wykluczeniu składa </w:t>
      </w:r>
      <w:bookmarkEnd w:id="30"/>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31E2E41E"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załącznik nr 8 do SWZ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2E3AADDE" w14:textId="24CB1AF5" w:rsidR="002F286A" w:rsidRPr="00A258D6" w:rsidRDefault="00C76D05" w:rsidP="00F76792">
      <w:pPr>
        <w:pStyle w:val="Akapitzlist"/>
        <w:numPr>
          <w:ilvl w:val="1"/>
          <w:numId w:val="31"/>
        </w:numPr>
        <w:spacing w:after="0" w:line="319" w:lineRule="auto"/>
        <w:jc w:val="both"/>
        <w:rPr>
          <w:rFonts w:asciiTheme="majorHAnsi" w:hAnsiTheme="majorHAnsi" w:cstheme="majorHAnsi"/>
          <w:strike/>
        </w:rPr>
      </w:pPr>
      <w:r w:rsidRPr="000A6F80">
        <w:rPr>
          <w:rFonts w:asciiTheme="majorHAnsi" w:hAnsiTheme="majorHAnsi" w:cstheme="majorHAnsi"/>
          <w:b/>
          <w:bCs/>
        </w:rPr>
        <w:t>Oryginał gwarancji lub poręczenia</w:t>
      </w:r>
      <w:r w:rsidRPr="00A258D6">
        <w:rPr>
          <w:rFonts w:asciiTheme="majorHAnsi" w:hAnsiTheme="majorHAnsi" w:cstheme="majorHAnsi"/>
        </w:rPr>
        <w:t xml:space="preserve">, jeżeli wadium jest </w:t>
      </w:r>
      <w:r w:rsidR="00D82F07" w:rsidRPr="00A258D6">
        <w:rPr>
          <w:rFonts w:asciiTheme="majorHAnsi" w:hAnsiTheme="majorHAnsi" w:cstheme="majorHAnsi"/>
        </w:rPr>
        <w:t>wnoszone w innej formie niż pieniądz</w:t>
      </w:r>
      <w:r w:rsidR="004B5B12" w:rsidRPr="00A258D6">
        <w:rPr>
          <w:rFonts w:asciiTheme="majorHAnsi" w:hAnsiTheme="majorHAnsi" w:cstheme="majorHAnsi"/>
        </w:rPr>
        <w:t>.</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E97C362" w14:textId="3999C1D5" w:rsidR="00897FAC" w:rsidRDefault="00897FAC" w:rsidP="00F76792">
      <w:pPr>
        <w:pStyle w:val="Akapitzlist"/>
        <w:numPr>
          <w:ilvl w:val="1"/>
          <w:numId w:val="31"/>
        </w:numPr>
        <w:spacing w:after="0" w:line="319" w:lineRule="auto"/>
        <w:jc w:val="both"/>
        <w:rPr>
          <w:rFonts w:asciiTheme="majorHAnsi" w:hAnsiTheme="majorHAnsi" w:cstheme="majorHAnsi"/>
        </w:rPr>
      </w:pPr>
      <w:r w:rsidRPr="00F046CE">
        <w:rPr>
          <w:rFonts w:asciiTheme="majorHAnsi" w:hAnsiTheme="majorHAnsi" w:cstheme="majorHAnsi"/>
        </w:rPr>
        <w:t xml:space="preserve"> </w:t>
      </w:r>
      <w:r w:rsidRPr="00F046CE">
        <w:rPr>
          <w:rFonts w:asciiTheme="majorHAnsi" w:hAnsiTheme="majorHAnsi" w:cstheme="majorHAnsi"/>
          <w:b/>
          <w:bCs/>
        </w:rPr>
        <w:t>Wykaz rozwiązań równoważnych</w:t>
      </w:r>
      <w:r>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11408D3" w14:textId="77777777" w:rsidR="00897FAC" w:rsidRPr="00897FAC" w:rsidRDefault="00897FAC" w:rsidP="00897FAC">
      <w:pPr>
        <w:pStyle w:val="Akapitzlist"/>
        <w:spacing w:after="0" w:line="319" w:lineRule="auto"/>
        <w:ind w:left="1080"/>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1"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29"/>
    <w:bookmarkEnd w:id="31"/>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B8792B"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2" w:name="_Toc65495860"/>
      <w:bookmarkEnd w:id="24"/>
      <w:r w:rsidRPr="000A6F80">
        <w:rPr>
          <w:rFonts w:asciiTheme="majorHAnsi" w:hAnsiTheme="majorHAnsi" w:cstheme="majorHAnsi"/>
          <w:b/>
          <w:bCs/>
          <w:sz w:val="24"/>
          <w:szCs w:val="24"/>
        </w:rPr>
        <w:t>XV. Sposób obliczania ceny oferty</w:t>
      </w:r>
      <w:bookmarkEnd w:id="32"/>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lastRenderedPageBreak/>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342FE302"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4"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4"/>
    </w:p>
    <w:bookmarkEnd w:id="33"/>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F76792">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lastRenderedPageBreak/>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42AE8E08" w14:textId="77777777" w:rsidR="00096CC1" w:rsidRPr="00A258D6" w:rsidRDefault="00096CC1" w:rsidP="00096CC1">
      <w:pPr>
        <w:spacing w:line="319" w:lineRule="auto"/>
        <w:ind w:left="284"/>
        <w:jc w:val="both"/>
        <w:rPr>
          <w:rFonts w:asciiTheme="majorHAnsi" w:hAnsiTheme="majorHAnsi" w:cstheme="majorHAnsi"/>
        </w:rPr>
      </w:pPr>
    </w:p>
    <w:p w14:paraId="000000E6" w14:textId="3377E210"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5" w:name="_Toc65495861"/>
      <w:r w:rsidRPr="00A258D6">
        <w:rPr>
          <w:rFonts w:asciiTheme="majorHAnsi" w:hAnsiTheme="majorHAnsi" w:cstheme="majorHAnsi"/>
          <w:b/>
          <w:bCs/>
          <w:sz w:val="22"/>
          <w:szCs w:val="22"/>
        </w:rPr>
        <w:t>XVI. Wymagania dotyczące wadium</w:t>
      </w:r>
      <w:bookmarkEnd w:id="35"/>
    </w:p>
    <w:p w14:paraId="76D4BE93" w14:textId="01F89A85" w:rsidR="00850AC6" w:rsidRPr="00A258D6" w:rsidRDefault="00FC4AB9" w:rsidP="00F76792">
      <w:pPr>
        <w:numPr>
          <w:ilvl w:val="3"/>
          <w:numId w:val="2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13799C" w:rsidRPr="0013799C">
        <w:rPr>
          <w:rFonts w:asciiTheme="majorHAnsi" w:hAnsiTheme="majorHAnsi" w:cstheme="majorHAnsi"/>
          <w:b/>
          <w:bCs/>
        </w:rPr>
        <w:t>3</w:t>
      </w:r>
      <w:r w:rsidR="00F046CE">
        <w:rPr>
          <w:rFonts w:asciiTheme="majorHAnsi" w:hAnsiTheme="majorHAnsi" w:cstheme="majorHAnsi"/>
          <w:b/>
          <w:bCs/>
        </w:rPr>
        <w:t>6</w:t>
      </w:r>
      <w:r w:rsidR="0013799C" w:rsidRPr="0013799C">
        <w:rPr>
          <w:rFonts w:asciiTheme="majorHAnsi" w:hAnsiTheme="majorHAnsi" w:cstheme="majorHAnsi"/>
          <w:b/>
          <w:bCs/>
        </w:rPr>
        <w:t>.000,00 zł</w:t>
      </w:r>
      <w:r w:rsidR="0013799C">
        <w:rPr>
          <w:rFonts w:asciiTheme="majorHAnsi" w:hAnsiTheme="majorHAnsi" w:cstheme="majorHAnsi"/>
        </w:rPr>
        <w:t xml:space="preserve"> </w:t>
      </w:r>
    </w:p>
    <w:p w14:paraId="000000E8"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00000E9" w14:textId="77777777" w:rsidR="001C5D72" w:rsidRPr="00A258D6" w:rsidRDefault="00FC4AB9" w:rsidP="00F76792">
      <w:pPr>
        <w:numPr>
          <w:ilvl w:val="3"/>
          <w:numId w:val="22"/>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000000EA"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00000EB"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00000EC"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00000ED" w14:textId="0F50214B"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001C7733" w:rsidRPr="00A258D6">
        <w:rPr>
          <w:rFonts w:asciiTheme="majorHAnsi" w:hAnsiTheme="majorHAnsi" w:cstheme="majorHAnsi"/>
        </w:rPr>
        <w:t>t.j.</w:t>
      </w:r>
      <w:r w:rsidRPr="00A258D6">
        <w:rPr>
          <w:rFonts w:asciiTheme="majorHAnsi" w:hAnsiTheme="majorHAnsi" w:cstheme="majorHAnsi"/>
        </w:rPr>
        <w:t>Dz</w:t>
      </w:r>
      <w:proofErr w:type="spellEnd"/>
      <w:r w:rsidRPr="00A258D6">
        <w:rPr>
          <w:rFonts w:asciiTheme="majorHAnsi" w:hAnsiTheme="majorHAnsi" w:cstheme="majorHAnsi"/>
        </w:rPr>
        <w:t>. U. z 2020 r. poz. 299).</w:t>
      </w:r>
    </w:p>
    <w:p w14:paraId="000000EE" w14:textId="08882F05" w:rsidR="001C5D72" w:rsidRPr="00A258D6" w:rsidRDefault="00FC4AB9" w:rsidP="00F76792">
      <w:pPr>
        <w:numPr>
          <w:ilvl w:val="3"/>
          <w:numId w:val="22"/>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00850AC6" w:rsidRPr="00A258D6">
        <w:rPr>
          <w:rFonts w:asciiTheme="majorHAnsi" w:eastAsia="Times New Roman" w:hAnsiTheme="majorHAnsi" w:cstheme="majorHAnsi"/>
          <w:b/>
          <w:bCs/>
        </w:rPr>
        <w:t>Poznański Bank Spółdzielczy  w Poznaniu Oddział w Dopiewie</w:t>
      </w:r>
      <w:r w:rsidR="00850AC6" w:rsidRPr="00A258D6">
        <w:rPr>
          <w:rFonts w:asciiTheme="majorHAnsi" w:hAnsiTheme="majorHAnsi" w:cstheme="majorHAnsi"/>
          <w:smallCaps/>
        </w:rPr>
        <w:t xml:space="preserve"> </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00850AC6"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 xml:space="preserve">Wadium – </w:t>
      </w:r>
      <w:r w:rsidR="00850AC6" w:rsidRPr="00A258D6">
        <w:rPr>
          <w:rFonts w:asciiTheme="majorHAnsi" w:hAnsiTheme="majorHAnsi" w:cstheme="majorHAnsi"/>
          <w:b/>
          <w:bCs/>
        </w:rPr>
        <w:t>ROA.271.</w:t>
      </w:r>
      <w:r w:rsidR="00F046CE">
        <w:rPr>
          <w:rFonts w:asciiTheme="majorHAnsi" w:hAnsiTheme="majorHAnsi" w:cstheme="majorHAnsi"/>
          <w:b/>
          <w:bCs/>
        </w:rPr>
        <w:t>3</w:t>
      </w:r>
      <w:r w:rsidR="00850AC6" w:rsidRPr="00A258D6">
        <w:rPr>
          <w:rFonts w:asciiTheme="majorHAnsi" w:hAnsiTheme="majorHAnsi" w:cstheme="majorHAnsi"/>
          <w:b/>
          <w:bCs/>
        </w:rPr>
        <w:t xml:space="preserve">.2021 </w:t>
      </w:r>
      <w:r w:rsidR="0013799C">
        <w:rPr>
          <w:rFonts w:asciiTheme="majorHAnsi" w:hAnsiTheme="majorHAnsi" w:cstheme="majorHAnsi"/>
          <w:b/>
          <w:bCs/>
        </w:rPr>
        <w:t xml:space="preserve">Skórzewo – budowa </w:t>
      </w:r>
      <w:r w:rsidR="00F046CE">
        <w:rPr>
          <w:rFonts w:asciiTheme="majorHAnsi" w:hAnsiTheme="majorHAnsi" w:cstheme="majorHAnsi"/>
          <w:b/>
          <w:bCs/>
        </w:rPr>
        <w:t>ulic Wiosennej</w:t>
      </w:r>
      <w:r w:rsidR="00A813CF">
        <w:rPr>
          <w:rFonts w:asciiTheme="majorHAnsi" w:hAnsiTheme="majorHAnsi" w:cstheme="majorHAnsi"/>
          <w:b/>
          <w:bCs/>
        </w:rPr>
        <w:t xml:space="preserve"> (...)</w:t>
      </w:r>
      <w:r w:rsidRPr="00A258D6">
        <w:rPr>
          <w:rFonts w:asciiTheme="majorHAnsi" w:hAnsiTheme="majorHAnsi" w:cstheme="majorHAnsi"/>
          <w:b/>
          <w:bCs/>
        </w:rPr>
        <w:t>”.</w:t>
      </w:r>
    </w:p>
    <w:p w14:paraId="77428A2E" w14:textId="0F1B59E4" w:rsidR="00850AC6" w:rsidRPr="00A258D6" w:rsidRDefault="00850AC6" w:rsidP="00881111">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 xml:space="preserve">Skuteczne wniesienie wadium w pieniądzu następuje z chwilą uznania środków pieniężnych na rachunku bankowym Zamawiającego, o którym mowa w pkt. </w:t>
      </w:r>
      <w:r w:rsidR="006C4D15" w:rsidRPr="00A258D6">
        <w:rPr>
          <w:rFonts w:asciiTheme="majorHAnsi" w:eastAsia="Times New Roman" w:hAnsiTheme="majorHAnsi" w:cstheme="majorHAnsi"/>
        </w:rPr>
        <w:t>4</w:t>
      </w:r>
      <w:r w:rsidRPr="00A258D6">
        <w:rPr>
          <w:rFonts w:asciiTheme="majorHAnsi" w:eastAsia="Times New Roman" w:hAnsiTheme="majorHAnsi" w:cstheme="majorHAnsi"/>
        </w:rPr>
        <w:t>, przed upływem terminu składania ofert (tj. przed upływem dnia i godziny wyznaczonej jako ostateczny termin składania ofert).</w:t>
      </w:r>
    </w:p>
    <w:p w14:paraId="4F605E56" w14:textId="3F0FE7E1" w:rsidR="003A508C" w:rsidRPr="00A258D6" w:rsidRDefault="003A508C" w:rsidP="003A508C">
      <w:pPr>
        <w:spacing w:line="319" w:lineRule="auto"/>
        <w:jc w:val="both"/>
        <w:rPr>
          <w:rFonts w:asciiTheme="majorHAnsi" w:hAnsiTheme="majorHAnsi" w:cstheme="majorHAnsi"/>
          <w:strike/>
        </w:rPr>
      </w:pPr>
    </w:p>
    <w:p w14:paraId="63E4EACC" w14:textId="77777777" w:rsidR="00DE40E4" w:rsidRPr="00A258D6" w:rsidRDefault="00675C16"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w:t>
      </w:r>
      <w:r w:rsidR="003A508C" w:rsidRPr="00A258D6">
        <w:rPr>
          <w:rFonts w:asciiTheme="majorHAnsi" w:hAnsiTheme="majorHAnsi" w:cstheme="majorHAnsi"/>
          <w:color w:val="000000" w:themeColor="text1"/>
        </w:rPr>
        <w:t xml:space="preserve">Jeżeli wadium jest wnoszone w formie gwarancji lub poręczenia Wykonawca przekazuje Zamawiającemu oryginał gwarancji lub poręczenia w postaci elektronicznej. </w:t>
      </w:r>
    </w:p>
    <w:p w14:paraId="24FE6542" w14:textId="6B7EDCD3"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t>
      </w:r>
      <w:r w:rsidR="003A508C" w:rsidRPr="00A258D6">
        <w:rPr>
          <w:rFonts w:asciiTheme="majorHAnsi" w:hAnsiTheme="majorHAnsi" w:cstheme="majorHAnsi"/>
          <w:color w:val="000000" w:themeColor="text1"/>
        </w:rPr>
        <w:t xml:space="preserve">Wadium takie musi obejmować cały okres związania ofertą. </w:t>
      </w:r>
    </w:p>
    <w:p w14:paraId="05924A3A" w14:textId="750C400B"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w:t>
      </w:r>
      <w:r w:rsidR="003A508C" w:rsidRPr="00A258D6">
        <w:rPr>
          <w:rFonts w:asciiTheme="majorHAnsi" w:hAnsiTheme="majorHAnsi" w:cstheme="majorHAnsi"/>
          <w:color w:val="000000" w:themeColor="text1"/>
        </w:rPr>
        <w:t xml:space="preserve">Treść gwarancji lub poręczenia nie może zawierać postanowień uzależniających jego dalsze obowiązywanie od zwrotu oryginału dokumentu gwarancyjnego do gwaranta. </w:t>
      </w:r>
    </w:p>
    <w:p w14:paraId="603F6606" w14:textId="42E2A569" w:rsidR="003A508C"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c) </w:t>
      </w:r>
      <w:r w:rsidR="003A508C" w:rsidRPr="00A258D6">
        <w:rPr>
          <w:rFonts w:asciiTheme="majorHAnsi" w:hAnsiTheme="majorHAnsi" w:cstheme="majorHAnsi"/>
          <w:color w:val="000000" w:themeColor="text1"/>
        </w:rPr>
        <w:t>Jako Beneficjenta wadium wnoszonego w formie poręczeń lub gwarancji należy wskazać – Gminę Dopiewo.</w:t>
      </w:r>
    </w:p>
    <w:p w14:paraId="1C2834DA" w14:textId="209C0199" w:rsidR="00F434F3" w:rsidRPr="00A258D6" w:rsidRDefault="00DE40E4" w:rsidP="003A508C">
      <w:pPr>
        <w:spacing w:line="319" w:lineRule="auto"/>
        <w:jc w:val="both"/>
        <w:rPr>
          <w:rFonts w:asciiTheme="majorHAnsi" w:hAnsiTheme="majorHAnsi" w:cstheme="majorHAnsi"/>
          <w:strike/>
        </w:rPr>
      </w:pPr>
      <w:r w:rsidRPr="00A258D6">
        <w:rPr>
          <w:rFonts w:asciiTheme="majorHAnsi" w:hAnsiTheme="majorHAnsi" w:cstheme="majorHAnsi"/>
        </w:rPr>
        <w:t xml:space="preserve">d) </w:t>
      </w:r>
      <w:r w:rsidR="00F434F3" w:rsidRPr="00A258D6">
        <w:rPr>
          <w:rFonts w:asciiTheme="majorHAnsi" w:hAnsiTheme="majorHAnsi" w:cstheme="majorHAns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A258D6">
        <w:rPr>
          <w:rFonts w:asciiTheme="majorHAnsi" w:hAnsiTheme="majorHAnsi" w:cstheme="majorHAnsi"/>
        </w:rPr>
        <w:t>.</w:t>
      </w:r>
    </w:p>
    <w:p w14:paraId="27C33FF2" w14:textId="14580B6E" w:rsidR="00675C16" w:rsidRPr="00A258D6" w:rsidRDefault="0051444A"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e) </w:t>
      </w:r>
      <w:r w:rsidR="003A508C" w:rsidRPr="00A258D6">
        <w:rPr>
          <w:rFonts w:asciiTheme="majorHAnsi" w:hAnsiTheme="majorHAnsi" w:cstheme="majorHAnsi"/>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6BA522E8" w14:textId="217B3C17" w:rsidR="00675C16"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w:t>
      </w:r>
      <w:r w:rsidR="003A508C" w:rsidRPr="00A258D6">
        <w:rPr>
          <w:rFonts w:asciiTheme="majorHAnsi" w:hAnsiTheme="majorHAnsi" w:cstheme="majorHAnsi"/>
          <w:color w:val="000000" w:themeColor="text1"/>
        </w:rPr>
        <w:t xml:space="preserve">Gwarancja lub poręczenie musi zawierać w swojej treści nieodwołalne i bezwarunkowe zobowiązanie wystawcy dokumentu do zapłaty na rzecz Zamawiającego kwoty wadium płatne na pierwsze pisemne żądanie Zamawiającego. </w:t>
      </w:r>
    </w:p>
    <w:p w14:paraId="2B92C3AC" w14:textId="20230D10" w:rsidR="002A1844"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t>
      </w:r>
      <w:r w:rsidR="003A508C" w:rsidRPr="00A258D6">
        <w:rPr>
          <w:rFonts w:asciiTheme="majorHAnsi" w:hAnsiTheme="majorHAnsi" w:cstheme="majorHAnsi"/>
          <w:color w:val="000000" w:themeColor="text1"/>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4CB9DA9" w14:textId="23760741" w:rsidR="003A508C"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w:t>
      </w:r>
      <w:r w:rsidR="003A508C" w:rsidRPr="00A258D6">
        <w:rPr>
          <w:rFonts w:asciiTheme="majorHAnsi" w:hAnsiTheme="majorHAnsi" w:cstheme="majorHAnsi"/>
          <w:color w:val="000000" w:themeColor="text1"/>
        </w:rPr>
        <w:t xml:space="preserve">Zamawiający dokona zwrotu wadium na zasadach określonych w art. 98 ust. 1 i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010C877" w14:textId="00DED1C8"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i) </w:t>
      </w:r>
      <w:r w:rsidR="003A508C" w:rsidRPr="00A258D6">
        <w:rPr>
          <w:rFonts w:asciiTheme="majorHAnsi" w:hAnsiTheme="majorHAnsi" w:cstheme="majorHAnsi"/>
          <w:color w:val="000000" w:themeColor="text1"/>
        </w:rPr>
        <w:t>Zamawiający zwróci wadium wniesione w innej formie niż w pieniądzu poprzez złożenie gwarantowi lub poręczycielowi oświadczenia o zwolnieniu wadium.</w:t>
      </w:r>
    </w:p>
    <w:p w14:paraId="09808609" w14:textId="7F3A6D7E"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w:t>
      </w:r>
      <w:r w:rsidR="003A508C" w:rsidRPr="00A258D6">
        <w:rPr>
          <w:rFonts w:asciiTheme="majorHAnsi" w:hAnsiTheme="majorHAnsi" w:cstheme="majorHAnsi"/>
          <w:color w:val="000000" w:themeColor="text1"/>
        </w:rPr>
        <w:t xml:space="preserve">Zaleca się, aby poręczenie lub gwarancja wskazywały adres mailowy </w:t>
      </w:r>
      <w:r w:rsidR="002A1844" w:rsidRPr="00A258D6">
        <w:rPr>
          <w:rFonts w:asciiTheme="majorHAnsi" w:hAnsiTheme="majorHAnsi" w:cstheme="majorHAnsi"/>
          <w:color w:val="000000" w:themeColor="text1"/>
        </w:rPr>
        <w:t xml:space="preserve">lub pocztowy </w:t>
      </w:r>
      <w:r w:rsidR="003A508C" w:rsidRPr="00A258D6">
        <w:rPr>
          <w:rFonts w:asciiTheme="majorHAnsi" w:hAnsiTheme="majorHAnsi" w:cstheme="majorHAnsi"/>
          <w:color w:val="000000" w:themeColor="text1"/>
        </w:rPr>
        <w:t xml:space="preserve">na jaki Zamawiający winien składać oświadczenie o zwolnieniu wadium, o którym mowa w art. 98 ust. 5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7F877FD8" w14:textId="77777777" w:rsidR="008D24DE" w:rsidRPr="00A258D6" w:rsidRDefault="008D24DE" w:rsidP="003A508C">
      <w:pPr>
        <w:spacing w:line="319" w:lineRule="auto"/>
        <w:jc w:val="both"/>
        <w:rPr>
          <w:rFonts w:asciiTheme="majorHAnsi" w:hAnsiTheme="majorHAnsi" w:cstheme="majorHAnsi"/>
          <w:color w:val="000000" w:themeColor="text1"/>
          <w:highlight w:val="yellow"/>
        </w:rPr>
      </w:pPr>
    </w:p>
    <w:p w14:paraId="75F4B762" w14:textId="0C407217" w:rsidR="003A508C" w:rsidRPr="00A258D6" w:rsidRDefault="003A508C"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F659022" w14:textId="77777777" w:rsidR="008D24DE" w:rsidRPr="00A258D6" w:rsidRDefault="008D24DE" w:rsidP="003A508C">
      <w:pPr>
        <w:spacing w:line="319" w:lineRule="auto"/>
        <w:jc w:val="both"/>
        <w:rPr>
          <w:rFonts w:asciiTheme="majorHAnsi" w:hAnsiTheme="majorHAnsi" w:cstheme="majorHAnsi"/>
          <w:color w:val="000000" w:themeColor="text1"/>
        </w:rPr>
      </w:pPr>
    </w:p>
    <w:p w14:paraId="000000F8" w14:textId="752DAAAB" w:rsidR="001C5D72" w:rsidRPr="00A258D6" w:rsidRDefault="002A1844" w:rsidP="002A184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00FC4AB9"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00FC4AB9" w:rsidRPr="00A258D6">
        <w:rPr>
          <w:rFonts w:asciiTheme="majorHAnsi" w:hAnsiTheme="majorHAnsi" w:cstheme="majorHAnsi"/>
          <w:b/>
        </w:rPr>
        <w:t xml:space="preserve"> zostanie odrzucona</w:t>
      </w:r>
      <w:r w:rsidR="00FC4AB9"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6" w:name="_Toc65495862"/>
      <w:r w:rsidRPr="00A258D6">
        <w:rPr>
          <w:rFonts w:asciiTheme="majorHAnsi" w:hAnsiTheme="majorHAnsi" w:cstheme="majorHAnsi"/>
          <w:b/>
          <w:bCs/>
          <w:sz w:val="22"/>
          <w:szCs w:val="22"/>
        </w:rPr>
        <w:t>XVII. Termin związania ofertą</w:t>
      </w:r>
      <w:bookmarkEnd w:id="36"/>
    </w:p>
    <w:p w14:paraId="000000FB" w14:textId="03980C8E"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B8792B">
        <w:rPr>
          <w:rFonts w:asciiTheme="majorHAnsi" w:hAnsiTheme="majorHAnsi" w:cstheme="majorHAnsi"/>
          <w:b/>
          <w:bCs/>
        </w:rPr>
        <w:t>do dnia</w:t>
      </w:r>
      <w:r w:rsidR="000805AA" w:rsidRPr="00B8792B">
        <w:rPr>
          <w:rFonts w:asciiTheme="majorHAnsi" w:hAnsiTheme="majorHAnsi" w:cstheme="majorHAnsi"/>
          <w:b/>
          <w:bCs/>
        </w:rPr>
        <w:t xml:space="preserve"> </w:t>
      </w:r>
      <w:r w:rsidR="001767E2" w:rsidRPr="00B8792B">
        <w:rPr>
          <w:rFonts w:asciiTheme="majorHAnsi" w:hAnsiTheme="majorHAnsi" w:cstheme="majorHAnsi"/>
          <w:b/>
          <w:bCs/>
        </w:rPr>
        <w:t>01</w:t>
      </w:r>
      <w:r w:rsidR="000805AA" w:rsidRPr="00B8792B">
        <w:rPr>
          <w:rFonts w:asciiTheme="majorHAnsi" w:hAnsiTheme="majorHAnsi" w:cstheme="majorHAnsi"/>
          <w:b/>
          <w:bCs/>
        </w:rPr>
        <w:t>.0</w:t>
      </w:r>
      <w:r w:rsidR="001767E2" w:rsidRPr="00B8792B">
        <w:rPr>
          <w:rFonts w:asciiTheme="majorHAnsi" w:hAnsiTheme="majorHAnsi" w:cstheme="majorHAnsi"/>
          <w:b/>
          <w:bCs/>
        </w:rPr>
        <w:t>5</w:t>
      </w:r>
      <w:r w:rsidR="000805AA" w:rsidRPr="00B8792B">
        <w:rPr>
          <w:rFonts w:asciiTheme="majorHAnsi" w:hAnsiTheme="majorHAnsi" w:cstheme="majorHAnsi"/>
          <w:b/>
          <w:bCs/>
        </w:rPr>
        <w:t>.2021</w:t>
      </w:r>
      <w:r w:rsidRPr="00B8792B">
        <w:rPr>
          <w:rFonts w:asciiTheme="majorHAnsi" w:hAnsiTheme="majorHAnsi" w:cstheme="majorHAnsi"/>
          <w:b/>
          <w:bCs/>
        </w:rPr>
        <w:t>r</w:t>
      </w:r>
      <w:r w:rsidRPr="00B8792B">
        <w:rPr>
          <w:rFonts w:asciiTheme="majorHAnsi" w:hAnsiTheme="majorHAnsi" w:cstheme="majorHAnsi"/>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7"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7"/>
    </w:p>
    <w:p w14:paraId="000000FF" w14:textId="0B763500"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C77CD6">
        <w:rPr>
          <w:rFonts w:asciiTheme="majorHAnsi" w:hAnsiTheme="majorHAnsi" w:cstheme="majorHAnsi"/>
          <w:b/>
          <w:bCs/>
        </w:rPr>
        <w:t xml:space="preserve">do </w:t>
      </w:r>
      <w:r w:rsidRPr="00B8792B">
        <w:rPr>
          <w:rFonts w:asciiTheme="majorHAnsi" w:hAnsiTheme="majorHAnsi" w:cstheme="majorHAnsi"/>
          <w:b/>
          <w:bCs/>
        </w:rPr>
        <w:t xml:space="preserve">dnia </w:t>
      </w:r>
      <w:r w:rsidR="007636D0" w:rsidRPr="00B8792B">
        <w:rPr>
          <w:rFonts w:asciiTheme="majorHAnsi" w:hAnsiTheme="majorHAnsi" w:cstheme="majorHAnsi"/>
          <w:b/>
          <w:bCs/>
        </w:rPr>
        <w:t>0</w:t>
      </w:r>
      <w:r w:rsidR="001767E2" w:rsidRPr="00B8792B">
        <w:rPr>
          <w:rFonts w:asciiTheme="majorHAnsi" w:hAnsiTheme="majorHAnsi" w:cstheme="majorHAnsi"/>
          <w:b/>
          <w:bCs/>
        </w:rPr>
        <w:t>2</w:t>
      </w:r>
      <w:r w:rsidR="00794557" w:rsidRPr="00B8792B">
        <w:rPr>
          <w:rFonts w:asciiTheme="majorHAnsi" w:hAnsiTheme="majorHAnsi" w:cstheme="majorHAnsi"/>
          <w:b/>
          <w:bCs/>
        </w:rPr>
        <w:t>.0</w:t>
      </w:r>
      <w:r w:rsidR="007636D0" w:rsidRPr="00B8792B">
        <w:rPr>
          <w:rFonts w:asciiTheme="majorHAnsi" w:hAnsiTheme="majorHAnsi" w:cstheme="majorHAnsi"/>
          <w:b/>
          <w:bCs/>
        </w:rPr>
        <w:t>4</w:t>
      </w:r>
      <w:r w:rsidR="00794557" w:rsidRPr="00B8792B">
        <w:rPr>
          <w:rFonts w:asciiTheme="majorHAnsi" w:hAnsiTheme="majorHAnsi" w:cstheme="majorHAnsi"/>
          <w:b/>
          <w:bCs/>
        </w:rPr>
        <w:t>.</w:t>
      </w:r>
      <w:r w:rsidR="005E6EF7" w:rsidRPr="00B8792B">
        <w:rPr>
          <w:rFonts w:asciiTheme="majorHAnsi" w:hAnsiTheme="majorHAnsi" w:cstheme="majorHAnsi"/>
          <w:b/>
          <w:bCs/>
        </w:rPr>
        <w:t>2021</w:t>
      </w:r>
      <w:r w:rsidR="00B22953" w:rsidRPr="00B8792B">
        <w:rPr>
          <w:rFonts w:asciiTheme="majorHAnsi" w:hAnsiTheme="majorHAnsi" w:cstheme="majorHAnsi"/>
          <w:b/>
          <w:bCs/>
        </w:rPr>
        <w:t xml:space="preserve">r.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38" w:name="_Toc65495864"/>
      <w:r w:rsidRPr="00A258D6">
        <w:rPr>
          <w:rFonts w:asciiTheme="majorHAnsi" w:hAnsiTheme="majorHAnsi" w:cstheme="majorHAnsi"/>
          <w:b/>
          <w:bCs/>
          <w:sz w:val="22"/>
          <w:szCs w:val="22"/>
        </w:rPr>
        <w:t>XIX. Otwarcie ofert</w:t>
      </w:r>
      <w:bookmarkEnd w:id="38"/>
    </w:p>
    <w:p w14:paraId="00000106" w14:textId="241E9CE3"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7636D0" w:rsidRPr="00B8792B">
        <w:rPr>
          <w:rFonts w:asciiTheme="majorHAnsi" w:hAnsiTheme="majorHAnsi" w:cstheme="majorHAnsi"/>
          <w:b/>
          <w:bCs/>
        </w:rPr>
        <w:t>0</w:t>
      </w:r>
      <w:r w:rsidR="001767E2" w:rsidRPr="00B8792B">
        <w:rPr>
          <w:rFonts w:asciiTheme="majorHAnsi" w:hAnsiTheme="majorHAnsi" w:cstheme="majorHAnsi"/>
          <w:b/>
          <w:bCs/>
        </w:rPr>
        <w:t>2</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7636D0" w:rsidRPr="00B8792B">
        <w:rPr>
          <w:rFonts w:asciiTheme="majorHAnsi" w:hAnsiTheme="majorHAnsi" w:cstheme="majorHAnsi"/>
          <w:b/>
          <w:bCs/>
        </w:rPr>
        <w:t>4</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A258D6" w:rsidRDefault="005864EA" w:rsidP="005864EA">
      <w:pPr>
        <w:rPr>
          <w:rFonts w:asciiTheme="majorHAnsi" w:hAnsiTheme="majorHAnsi" w:cstheme="majorHAnsi"/>
        </w:rPr>
      </w:pP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39"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39"/>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0"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lastRenderedPageBreak/>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5F65DD99" w:rsidR="00B8688E" w:rsidRPr="002B307A" w:rsidRDefault="00B8688E" w:rsidP="00B8688E">
      <w:pPr>
        <w:tabs>
          <w:tab w:val="left" w:pos="12170"/>
        </w:tabs>
        <w:suppressAutoHyphens/>
        <w:snapToGrid w:val="0"/>
        <w:spacing w:line="240"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4959CE">
        <w:rPr>
          <w:rFonts w:asciiTheme="majorHAnsi" w:eastAsia="Times New Roman" w:hAnsiTheme="majorHAnsi" w:cstheme="majorHAnsi"/>
          <w:b/>
          <w:bCs/>
          <w:lang w:eastAsia="ar-SA"/>
        </w:rPr>
        <w:t>60</w:t>
      </w:r>
      <w:r w:rsidRPr="002B307A">
        <w:rPr>
          <w:rFonts w:asciiTheme="majorHAnsi" w:eastAsia="Times New Roman" w:hAnsiTheme="majorHAnsi" w:cstheme="majorHAnsi"/>
          <w:b/>
          <w:bCs/>
          <w:lang w:eastAsia="ar-SA"/>
        </w:rPr>
        <w:t xml:space="preserve"> miesięcy. </w:t>
      </w:r>
    </w:p>
    <w:p w14:paraId="4A8E6D42" w14:textId="134F8DE1" w:rsidR="002B307A"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4959CE">
        <w:rPr>
          <w:rFonts w:asciiTheme="majorHAnsi" w:eastAsia="Times New Roman" w:hAnsiTheme="majorHAnsi" w:cstheme="majorHAnsi"/>
          <w:b/>
          <w:bCs/>
          <w:lang w:eastAsia="ar-SA"/>
        </w:rPr>
        <w:t xml:space="preserve">84 </w:t>
      </w:r>
      <w:r w:rsidRPr="002B307A">
        <w:rPr>
          <w:rFonts w:asciiTheme="majorHAnsi" w:eastAsia="Times New Roman" w:hAnsiTheme="majorHAnsi" w:cstheme="majorHAnsi"/>
          <w:b/>
          <w:bCs/>
          <w:lang w:eastAsia="ar-SA"/>
        </w:rPr>
        <w:t>miesi</w:t>
      </w:r>
      <w:r w:rsidR="004959CE">
        <w:rPr>
          <w:rFonts w:asciiTheme="majorHAnsi" w:eastAsia="Times New Roman" w:hAnsiTheme="majorHAnsi" w:cstheme="majorHAnsi"/>
          <w:b/>
          <w:bCs/>
          <w:lang w:eastAsia="ar-SA"/>
        </w:rPr>
        <w:t>ące.</w:t>
      </w:r>
      <w:r w:rsidRPr="00B8688E">
        <w:rPr>
          <w:rFonts w:asciiTheme="majorHAnsi" w:eastAsia="Times New Roman" w:hAnsiTheme="majorHAnsi" w:cstheme="majorHAnsi"/>
          <w:lang w:eastAsia="ar-SA"/>
        </w:rPr>
        <w:t xml:space="preserve"> </w:t>
      </w:r>
    </w:p>
    <w:p w14:paraId="57A9883C" w14:textId="5A35E7FD"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4959CE">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SIWZ, czyli </w:t>
      </w:r>
      <w:r w:rsidR="004959CE">
        <w:rPr>
          <w:rFonts w:asciiTheme="majorHAnsi" w:eastAsia="Times New Roman" w:hAnsiTheme="majorHAnsi" w:cstheme="majorHAnsi"/>
          <w:lang w:eastAsia="ar-SA"/>
        </w:rPr>
        <w:t>84</w:t>
      </w:r>
      <w:r w:rsidRPr="00B8688E">
        <w:rPr>
          <w:rFonts w:asciiTheme="majorHAnsi" w:eastAsia="Times New Roman" w:hAnsiTheme="majorHAnsi" w:cstheme="majorHAnsi"/>
          <w:lang w:eastAsia="ar-SA"/>
        </w:rPr>
        <w:t xml:space="preserve"> miesięcy.</w:t>
      </w:r>
    </w:p>
    <w:p w14:paraId="1DDC59B7" w14:textId="176CBCE5"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4959CE">
        <w:rPr>
          <w:rFonts w:asciiTheme="majorHAnsi" w:eastAsia="Times New Roman" w:hAnsiTheme="majorHAnsi" w:cstheme="majorHAnsi"/>
          <w:lang w:eastAsia="ar-SA"/>
        </w:rPr>
        <w:t xml:space="preserve">60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0"/>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1" w:name="_Toc65495866"/>
      <w:r w:rsidRPr="00A258D6">
        <w:rPr>
          <w:rFonts w:asciiTheme="majorHAnsi" w:hAnsiTheme="majorHAnsi" w:cstheme="majorHAnsi"/>
          <w:b/>
          <w:bCs/>
          <w:sz w:val="22"/>
          <w:szCs w:val="22"/>
        </w:rPr>
        <w:t>XXI. Wymagania dotyczące zabezpieczenia należytego wykonania umowy.</w:t>
      </w:r>
      <w:bookmarkEnd w:id="41"/>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w:t>
      </w:r>
      <w:r w:rsidR="003E3205" w:rsidRPr="00A258D6">
        <w:rPr>
          <w:rFonts w:asciiTheme="majorHAnsi" w:hAnsiTheme="majorHAnsi" w:cstheme="majorHAnsi"/>
        </w:rPr>
        <w:lastRenderedPageBreak/>
        <w:t>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2"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2"/>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3" w:name="_Toc65495868"/>
      <w:r w:rsidRPr="00B8688E">
        <w:rPr>
          <w:rFonts w:asciiTheme="majorHAnsi" w:hAnsiTheme="majorHAnsi" w:cstheme="majorHAnsi"/>
          <w:b/>
          <w:bCs/>
          <w:sz w:val="24"/>
          <w:szCs w:val="24"/>
        </w:rPr>
        <w:t>XXIII. Informacje o treści zawieranej umowy oraz możliwości jej zmiany</w:t>
      </w:r>
      <w:bookmarkEnd w:id="43"/>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4"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4"/>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5" w:name="_uarrfy5kozla" w:colFirst="0" w:colLast="0"/>
      <w:bookmarkStart w:id="46" w:name="_Toc65495870"/>
      <w:bookmarkEnd w:id="45"/>
      <w:r w:rsidRPr="00A258D6">
        <w:rPr>
          <w:rFonts w:asciiTheme="majorHAnsi" w:hAnsiTheme="majorHAnsi" w:cstheme="majorHAnsi"/>
          <w:b/>
          <w:bCs/>
          <w:sz w:val="22"/>
          <w:szCs w:val="22"/>
        </w:rPr>
        <w:lastRenderedPageBreak/>
        <w:t>XXV. Spis załączników</w:t>
      </w:r>
      <w:bookmarkEnd w:id="46"/>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5 do SWZ - </w:t>
      </w:r>
      <w:r w:rsidR="00CD6886" w:rsidRPr="00A258D6">
        <w:rPr>
          <w:rFonts w:asciiTheme="majorHAnsi" w:hAnsiTheme="majorHAnsi" w:cstheme="majorHAnsi"/>
        </w:rPr>
        <w:t>Oświadczenie dotyczące przynależności lub braku przynależności do tej samej grupy kapitałowej.</w:t>
      </w:r>
    </w:p>
    <w:p w14:paraId="563A2209" w14:textId="1357C57A"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6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009FE43F" w14:textId="4286CC09"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7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2D5E1678" w14:textId="3464EBEB" w:rsidR="00CD6886"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8 do SWZ – dotyczy Wykonawców występujących wspólnie - wzór oświadczenia</w:t>
      </w:r>
      <w:r w:rsidR="00045C94" w:rsidRPr="00A258D6">
        <w:rPr>
          <w:rFonts w:asciiTheme="majorHAnsi" w:hAnsiTheme="majorHAnsi" w:cstheme="majorHAnsi"/>
        </w:rPr>
        <w:t>,</w:t>
      </w:r>
      <w:r w:rsidRPr="00A258D6">
        <w:rPr>
          <w:rFonts w:asciiTheme="majorHAnsi" w:hAnsiTheme="majorHAnsi" w:cstheme="majorHAnsi"/>
        </w:rPr>
        <w:t xml:space="preserve">  </w:t>
      </w:r>
      <w:r w:rsidR="00045C94" w:rsidRPr="00A258D6">
        <w:rPr>
          <w:rFonts w:asciiTheme="majorHAnsi" w:hAnsiTheme="majorHAnsi" w:cstheme="majorHAnsi"/>
        </w:rPr>
        <w:t>z którego wynika, które usługi wykonają poszczególni wykonawcy.</w:t>
      </w:r>
    </w:p>
    <w:p w14:paraId="1EBB5816" w14:textId="7DBF680A" w:rsidR="00E305F3"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9 do SWZ - </w:t>
      </w:r>
      <w:r w:rsidR="00661AC9">
        <w:rPr>
          <w:rFonts w:asciiTheme="majorHAnsi" w:hAnsiTheme="majorHAnsi" w:cstheme="majorHAnsi"/>
        </w:rPr>
        <w:t>W</w:t>
      </w:r>
      <w:r w:rsidRPr="00A258D6">
        <w:rPr>
          <w:rFonts w:asciiTheme="majorHAnsi" w:hAnsiTheme="majorHAnsi" w:cstheme="majorHAnsi"/>
        </w:rPr>
        <w:t>ykaz osób.</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748D" w14:textId="77777777" w:rsidR="002A2DE0" w:rsidRDefault="002A2DE0">
      <w:pPr>
        <w:spacing w:line="240" w:lineRule="auto"/>
      </w:pPr>
      <w:r>
        <w:separator/>
      </w:r>
    </w:p>
  </w:endnote>
  <w:endnote w:type="continuationSeparator" w:id="0">
    <w:p w14:paraId="5EF5C93A" w14:textId="77777777" w:rsidR="002A2DE0" w:rsidRDefault="002A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2CAE43B0" w:rsidR="00B8792B" w:rsidRDefault="00B8792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2E7D" w14:textId="77777777" w:rsidR="002A2DE0" w:rsidRDefault="002A2DE0">
      <w:pPr>
        <w:spacing w:line="240" w:lineRule="auto"/>
      </w:pPr>
      <w:r>
        <w:separator/>
      </w:r>
    </w:p>
  </w:footnote>
  <w:footnote w:type="continuationSeparator" w:id="0">
    <w:p w14:paraId="505CA4B4" w14:textId="77777777" w:rsidR="002A2DE0" w:rsidRDefault="002A2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60D324D7" w:rsidR="00B8792B" w:rsidRDefault="00B8792B">
    <w:pPr>
      <w:rPr>
        <w:rFonts w:ascii="Calibri" w:eastAsia="Calibri" w:hAnsi="Calibri" w:cs="Calibri"/>
        <w:color w:val="434343"/>
      </w:rPr>
    </w:pPr>
    <w:r>
      <w:rPr>
        <w:rFonts w:ascii="Calibri" w:eastAsia="Calibri" w:hAnsi="Calibri" w:cs="Calibri"/>
        <w:color w:val="434343"/>
      </w:rPr>
      <w:t>Nr postępowania: ROA.271.3.2021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15"/>
  </w:num>
  <w:num w:numId="4">
    <w:abstractNumId w:val="1"/>
  </w:num>
  <w:num w:numId="5">
    <w:abstractNumId w:val="6"/>
  </w:num>
  <w:num w:numId="6">
    <w:abstractNumId w:val="35"/>
  </w:num>
  <w:num w:numId="7">
    <w:abstractNumId w:val="27"/>
  </w:num>
  <w:num w:numId="8">
    <w:abstractNumId w:val="34"/>
  </w:num>
  <w:num w:numId="9">
    <w:abstractNumId w:val="30"/>
  </w:num>
  <w:num w:numId="10">
    <w:abstractNumId w:val="11"/>
  </w:num>
  <w:num w:numId="11">
    <w:abstractNumId w:val="8"/>
  </w:num>
  <w:num w:numId="12">
    <w:abstractNumId w:val="25"/>
  </w:num>
  <w:num w:numId="13">
    <w:abstractNumId w:val="13"/>
  </w:num>
  <w:num w:numId="14">
    <w:abstractNumId w:val="16"/>
  </w:num>
  <w:num w:numId="15">
    <w:abstractNumId w:val="28"/>
  </w:num>
  <w:num w:numId="16">
    <w:abstractNumId w:val="0"/>
  </w:num>
  <w:num w:numId="17">
    <w:abstractNumId w:val="29"/>
  </w:num>
  <w:num w:numId="18">
    <w:abstractNumId w:val="26"/>
  </w:num>
  <w:num w:numId="19">
    <w:abstractNumId w:val="21"/>
  </w:num>
  <w:num w:numId="20">
    <w:abstractNumId w:val="18"/>
  </w:num>
  <w:num w:numId="21">
    <w:abstractNumId w:val="32"/>
  </w:num>
  <w:num w:numId="22">
    <w:abstractNumId w:val="33"/>
  </w:num>
  <w:num w:numId="23">
    <w:abstractNumId w:val="17"/>
  </w:num>
  <w:num w:numId="24">
    <w:abstractNumId w:val="19"/>
  </w:num>
  <w:num w:numId="25">
    <w:abstractNumId w:val="22"/>
  </w:num>
  <w:num w:numId="26">
    <w:abstractNumId w:val="24"/>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10"/>
  </w:num>
  <w:num w:numId="32">
    <w:abstractNumId w:val="12"/>
  </w:num>
  <w:num w:numId="33">
    <w:abstractNumId w:val="3"/>
  </w:num>
  <w:num w:numId="34">
    <w:abstractNumId w:val="20"/>
  </w:num>
  <w:num w:numId="35">
    <w:abstractNumId w:val="14"/>
  </w:num>
  <w:num w:numId="36">
    <w:abstractNumId w:val="2"/>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57F8C"/>
    <w:rsid w:val="000805AA"/>
    <w:rsid w:val="000816E2"/>
    <w:rsid w:val="0008203E"/>
    <w:rsid w:val="00085B60"/>
    <w:rsid w:val="00091CFF"/>
    <w:rsid w:val="00094FF5"/>
    <w:rsid w:val="00096B30"/>
    <w:rsid w:val="00096CC1"/>
    <w:rsid w:val="000A2FA5"/>
    <w:rsid w:val="000A6F80"/>
    <w:rsid w:val="000A7D9A"/>
    <w:rsid w:val="000B07B4"/>
    <w:rsid w:val="000F3D8A"/>
    <w:rsid w:val="001107AD"/>
    <w:rsid w:val="00117A01"/>
    <w:rsid w:val="001269F3"/>
    <w:rsid w:val="0013799C"/>
    <w:rsid w:val="0014258D"/>
    <w:rsid w:val="00173C78"/>
    <w:rsid w:val="001755AA"/>
    <w:rsid w:val="001767E2"/>
    <w:rsid w:val="00185789"/>
    <w:rsid w:val="0019773C"/>
    <w:rsid w:val="001A4D5A"/>
    <w:rsid w:val="001B6804"/>
    <w:rsid w:val="001B742A"/>
    <w:rsid w:val="001C5D72"/>
    <w:rsid w:val="001C7733"/>
    <w:rsid w:val="001D079F"/>
    <w:rsid w:val="001D16DC"/>
    <w:rsid w:val="001D6F74"/>
    <w:rsid w:val="001E189E"/>
    <w:rsid w:val="001F375D"/>
    <w:rsid w:val="001F6724"/>
    <w:rsid w:val="001F6FA3"/>
    <w:rsid w:val="002034A6"/>
    <w:rsid w:val="00206E26"/>
    <w:rsid w:val="00217FF0"/>
    <w:rsid w:val="002220AF"/>
    <w:rsid w:val="00226899"/>
    <w:rsid w:val="00233AAC"/>
    <w:rsid w:val="00235EBE"/>
    <w:rsid w:val="002409D3"/>
    <w:rsid w:val="002645CD"/>
    <w:rsid w:val="00281381"/>
    <w:rsid w:val="00284068"/>
    <w:rsid w:val="00287869"/>
    <w:rsid w:val="00294ADE"/>
    <w:rsid w:val="00296060"/>
    <w:rsid w:val="002A1844"/>
    <w:rsid w:val="002A2DE0"/>
    <w:rsid w:val="002A4E12"/>
    <w:rsid w:val="002B307A"/>
    <w:rsid w:val="002B75A1"/>
    <w:rsid w:val="002C130E"/>
    <w:rsid w:val="002C40C0"/>
    <w:rsid w:val="002E497D"/>
    <w:rsid w:val="002E6BFC"/>
    <w:rsid w:val="002F286A"/>
    <w:rsid w:val="00301B0F"/>
    <w:rsid w:val="00305B1B"/>
    <w:rsid w:val="00326F74"/>
    <w:rsid w:val="00344DDF"/>
    <w:rsid w:val="003467F4"/>
    <w:rsid w:val="003567CC"/>
    <w:rsid w:val="00377F18"/>
    <w:rsid w:val="0038543F"/>
    <w:rsid w:val="0039496C"/>
    <w:rsid w:val="003A3FBD"/>
    <w:rsid w:val="003A4FFA"/>
    <w:rsid w:val="003A508C"/>
    <w:rsid w:val="003B0B6C"/>
    <w:rsid w:val="003B22F7"/>
    <w:rsid w:val="003B6719"/>
    <w:rsid w:val="003B739A"/>
    <w:rsid w:val="003B7A49"/>
    <w:rsid w:val="003C331F"/>
    <w:rsid w:val="003C67BF"/>
    <w:rsid w:val="003C6AFB"/>
    <w:rsid w:val="003E3205"/>
    <w:rsid w:val="003F3BC0"/>
    <w:rsid w:val="003F6055"/>
    <w:rsid w:val="00424543"/>
    <w:rsid w:val="004365D2"/>
    <w:rsid w:val="0044203E"/>
    <w:rsid w:val="00447B79"/>
    <w:rsid w:val="00450C8E"/>
    <w:rsid w:val="0045658C"/>
    <w:rsid w:val="00471433"/>
    <w:rsid w:val="0047516D"/>
    <w:rsid w:val="004837CA"/>
    <w:rsid w:val="00491604"/>
    <w:rsid w:val="004959CE"/>
    <w:rsid w:val="004A400F"/>
    <w:rsid w:val="004A56C0"/>
    <w:rsid w:val="004B5B12"/>
    <w:rsid w:val="004C3F3B"/>
    <w:rsid w:val="004C76C6"/>
    <w:rsid w:val="004D51CB"/>
    <w:rsid w:val="004F2658"/>
    <w:rsid w:val="004F3ECF"/>
    <w:rsid w:val="00505136"/>
    <w:rsid w:val="005107C9"/>
    <w:rsid w:val="00512217"/>
    <w:rsid w:val="0051444A"/>
    <w:rsid w:val="005313D8"/>
    <w:rsid w:val="00533F49"/>
    <w:rsid w:val="00541386"/>
    <w:rsid w:val="005422A4"/>
    <w:rsid w:val="00544DEB"/>
    <w:rsid w:val="00567CE6"/>
    <w:rsid w:val="0057369C"/>
    <w:rsid w:val="00585FF7"/>
    <w:rsid w:val="005864EA"/>
    <w:rsid w:val="005B4887"/>
    <w:rsid w:val="005C65DF"/>
    <w:rsid w:val="005E6EF7"/>
    <w:rsid w:val="006116B3"/>
    <w:rsid w:val="00612559"/>
    <w:rsid w:val="00637F8E"/>
    <w:rsid w:val="0064460C"/>
    <w:rsid w:val="00661067"/>
    <w:rsid w:val="00661AC9"/>
    <w:rsid w:val="00675C16"/>
    <w:rsid w:val="0068752A"/>
    <w:rsid w:val="006A5BC7"/>
    <w:rsid w:val="006B40FC"/>
    <w:rsid w:val="006B4DC1"/>
    <w:rsid w:val="006B6890"/>
    <w:rsid w:val="006C4D15"/>
    <w:rsid w:val="006E5E51"/>
    <w:rsid w:val="006F247A"/>
    <w:rsid w:val="006F3478"/>
    <w:rsid w:val="00703329"/>
    <w:rsid w:val="00703D85"/>
    <w:rsid w:val="00705B71"/>
    <w:rsid w:val="007106D1"/>
    <w:rsid w:val="0071612B"/>
    <w:rsid w:val="00720175"/>
    <w:rsid w:val="00723F94"/>
    <w:rsid w:val="007325D7"/>
    <w:rsid w:val="00735A3B"/>
    <w:rsid w:val="00743DE2"/>
    <w:rsid w:val="00745302"/>
    <w:rsid w:val="007563B1"/>
    <w:rsid w:val="007606A6"/>
    <w:rsid w:val="007636D0"/>
    <w:rsid w:val="00767DAC"/>
    <w:rsid w:val="007761FF"/>
    <w:rsid w:val="007839A2"/>
    <w:rsid w:val="00790CC7"/>
    <w:rsid w:val="00794557"/>
    <w:rsid w:val="007D1D4F"/>
    <w:rsid w:val="00804F73"/>
    <w:rsid w:val="0082243F"/>
    <w:rsid w:val="00826B05"/>
    <w:rsid w:val="00826DC8"/>
    <w:rsid w:val="00850AC6"/>
    <w:rsid w:val="00850EF2"/>
    <w:rsid w:val="00856FFA"/>
    <w:rsid w:val="00857D03"/>
    <w:rsid w:val="008664B0"/>
    <w:rsid w:val="00874931"/>
    <w:rsid w:val="00880A31"/>
    <w:rsid w:val="00881111"/>
    <w:rsid w:val="008914D8"/>
    <w:rsid w:val="00897FAC"/>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80F58"/>
    <w:rsid w:val="00994206"/>
    <w:rsid w:val="009A31BF"/>
    <w:rsid w:val="009A4AE7"/>
    <w:rsid w:val="009A74E5"/>
    <w:rsid w:val="009B34E2"/>
    <w:rsid w:val="009D2556"/>
    <w:rsid w:val="009E3DDB"/>
    <w:rsid w:val="009E718F"/>
    <w:rsid w:val="009F7BA4"/>
    <w:rsid w:val="00A258D6"/>
    <w:rsid w:val="00A32ACB"/>
    <w:rsid w:val="00A33B8E"/>
    <w:rsid w:val="00A45459"/>
    <w:rsid w:val="00A461C1"/>
    <w:rsid w:val="00A813CF"/>
    <w:rsid w:val="00A96A80"/>
    <w:rsid w:val="00AB2A63"/>
    <w:rsid w:val="00AC1B9C"/>
    <w:rsid w:val="00AC5260"/>
    <w:rsid w:val="00AD0456"/>
    <w:rsid w:val="00AF2298"/>
    <w:rsid w:val="00AF2A39"/>
    <w:rsid w:val="00B159A0"/>
    <w:rsid w:val="00B2219E"/>
    <w:rsid w:val="00B22953"/>
    <w:rsid w:val="00B56D23"/>
    <w:rsid w:val="00B605D3"/>
    <w:rsid w:val="00B738D5"/>
    <w:rsid w:val="00B763C0"/>
    <w:rsid w:val="00B8688E"/>
    <w:rsid w:val="00B86CEC"/>
    <w:rsid w:val="00B878D6"/>
    <w:rsid w:val="00B8792B"/>
    <w:rsid w:val="00B965C8"/>
    <w:rsid w:val="00BA2A35"/>
    <w:rsid w:val="00BA6700"/>
    <w:rsid w:val="00BE1695"/>
    <w:rsid w:val="00BE42C6"/>
    <w:rsid w:val="00C35BEF"/>
    <w:rsid w:val="00C41890"/>
    <w:rsid w:val="00C466C5"/>
    <w:rsid w:val="00C62B07"/>
    <w:rsid w:val="00C63B1C"/>
    <w:rsid w:val="00C76D05"/>
    <w:rsid w:val="00C77CD6"/>
    <w:rsid w:val="00C9460E"/>
    <w:rsid w:val="00CA7098"/>
    <w:rsid w:val="00CB256B"/>
    <w:rsid w:val="00CB268F"/>
    <w:rsid w:val="00CB66A8"/>
    <w:rsid w:val="00CC4A0C"/>
    <w:rsid w:val="00CC4DE6"/>
    <w:rsid w:val="00CD29A3"/>
    <w:rsid w:val="00CD6886"/>
    <w:rsid w:val="00CE5605"/>
    <w:rsid w:val="00CF6FD6"/>
    <w:rsid w:val="00D012B4"/>
    <w:rsid w:val="00D07495"/>
    <w:rsid w:val="00D109AB"/>
    <w:rsid w:val="00D12C81"/>
    <w:rsid w:val="00D4527E"/>
    <w:rsid w:val="00D4775D"/>
    <w:rsid w:val="00D51A9B"/>
    <w:rsid w:val="00D64AB4"/>
    <w:rsid w:val="00D74830"/>
    <w:rsid w:val="00D767C0"/>
    <w:rsid w:val="00D82F07"/>
    <w:rsid w:val="00D96EA2"/>
    <w:rsid w:val="00DB63FF"/>
    <w:rsid w:val="00DC2C9E"/>
    <w:rsid w:val="00DC2CBA"/>
    <w:rsid w:val="00DC3BB0"/>
    <w:rsid w:val="00DD52B3"/>
    <w:rsid w:val="00DD64A6"/>
    <w:rsid w:val="00DE2D91"/>
    <w:rsid w:val="00DE36D5"/>
    <w:rsid w:val="00DE40E4"/>
    <w:rsid w:val="00DF1295"/>
    <w:rsid w:val="00DF5FBA"/>
    <w:rsid w:val="00E26359"/>
    <w:rsid w:val="00E305F3"/>
    <w:rsid w:val="00E32059"/>
    <w:rsid w:val="00E508E1"/>
    <w:rsid w:val="00E550CD"/>
    <w:rsid w:val="00E65E93"/>
    <w:rsid w:val="00E7717C"/>
    <w:rsid w:val="00E937B0"/>
    <w:rsid w:val="00E93BFA"/>
    <w:rsid w:val="00EA572A"/>
    <w:rsid w:val="00EA5D61"/>
    <w:rsid w:val="00EB3CA2"/>
    <w:rsid w:val="00EB5EE9"/>
    <w:rsid w:val="00EE4FC1"/>
    <w:rsid w:val="00EF4BB5"/>
    <w:rsid w:val="00F00266"/>
    <w:rsid w:val="00F046CE"/>
    <w:rsid w:val="00F142AF"/>
    <w:rsid w:val="00F37E70"/>
    <w:rsid w:val="00F434F3"/>
    <w:rsid w:val="00F54DD1"/>
    <w:rsid w:val="00F67F03"/>
    <w:rsid w:val="00F76792"/>
    <w:rsid w:val="00F861AC"/>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31</Pages>
  <Words>10517</Words>
  <Characters>71731</Characters>
  <Application>Microsoft Office Word</Application>
  <DocSecurity>0</DocSecurity>
  <Lines>956</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72</cp:revision>
  <cp:lastPrinted>2021-03-18T14:04:00Z</cp:lastPrinted>
  <dcterms:created xsi:type="dcterms:W3CDTF">2021-03-08T00:28:00Z</dcterms:created>
  <dcterms:modified xsi:type="dcterms:W3CDTF">2021-03-18T16:43:00Z</dcterms:modified>
</cp:coreProperties>
</file>