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D07" w14:textId="77777777" w:rsidR="00AB3330" w:rsidRDefault="00AB3330" w:rsidP="00AB3330">
      <w:r>
        <w:t>Miasteczko rowerowe stacjonarne - 2 szt.</w:t>
      </w:r>
    </w:p>
    <w:p w14:paraId="18018F6D" w14:textId="77777777" w:rsidR="00AB3330" w:rsidRDefault="00AB3330" w:rsidP="00AB3330">
      <w:r>
        <w:t>Przedmiotem szacowania wartości zamówienia jest wykonanie stacjonarnego miasteczka rowerowego wraz ze strefą gier.</w:t>
      </w:r>
    </w:p>
    <w:p w14:paraId="0EE7FFD3" w14:textId="77777777" w:rsidR="00AB3330" w:rsidRDefault="00AB3330" w:rsidP="00AB3330">
      <w:r>
        <w:t>Miasto rowerowe stacjonarne – stanowi pomoc dydaktyczną przy nauce przepisów ruchu drogowego i zasad poprawnego zachowania się uczestników ruchu na drodze. Świetnie sprawdza się przy szkoleniu młodych rowerzystów i dzieci w wieku szkolnym.</w:t>
      </w:r>
    </w:p>
    <w:p w14:paraId="754DF01B" w14:textId="77777777" w:rsidR="00AB3330" w:rsidRDefault="00AB3330" w:rsidP="00AB3330">
      <w:r>
        <w:t>W skład miasteczka :</w:t>
      </w:r>
    </w:p>
    <w:p w14:paraId="4A012D53" w14:textId="77777777" w:rsidR="00AB3330" w:rsidRDefault="00AB3330" w:rsidP="00AB3330">
      <w:r>
        <w:t>- wymalowanie podłoża kolorem niebieskim z ruchem dwukierunkowym oraz białym oznakowaniem poziomym,</w:t>
      </w:r>
    </w:p>
    <w:p w14:paraId="2A34AA30" w14:textId="77777777" w:rsidR="00AB3330" w:rsidRDefault="00AB3330" w:rsidP="00AB3330">
      <w:r>
        <w:t>- 1 rondo,</w:t>
      </w:r>
    </w:p>
    <w:p w14:paraId="4171AF88" w14:textId="77777777" w:rsidR="00AB3330" w:rsidRDefault="00AB3330" w:rsidP="00AB3330">
      <w:r>
        <w:t>- 3 przejścia dla pieszych,</w:t>
      </w:r>
    </w:p>
    <w:p w14:paraId="4167C1CF" w14:textId="77777777" w:rsidR="00AB3330" w:rsidRDefault="00AB3330" w:rsidP="00AB3330">
      <w:r>
        <w:t>- zestaw mini znaków drogowych mobilnych osadzonych na metalowej chromowanej rurce i stabilnej podstawie</w:t>
      </w:r>
    </w:p>
    <w:p w14:paraId="4482EE07" w14:textId="77777777" w:rsidR="00AB3330" w:rsidRDefault="00AB3330" w:rsidP="00AB3330">
      <w:r>
        <w:t xml:space="preserve">- zestaw sygnalizacji świetlnej </w:t>
      </w:r>
    </w:p>
    <w:p w14:paraId="6DF2557C" w14:textId="77777777" w:rsidR="00AB3330" w:rsidRDefault="00AB3330" w:rsidP="00AB3330">
      <w:r>
        <w:t>- 6 szt. gier podwórkowych</w:t>
      </w:r>
    </w:p>
    <w:p w14:paraId="04C6792D" w14:textId="77777777" w:rsidR="00AB3330" w:rsidRDefault="00AB3330" w:rsidP="00AB3330">
      <w:r>
        <w:t xml:space="preserve">Miasteczko o wymiarach : 15m x 25 m </w:t>
      </w:r>
    </w:p>
    <w:p w14:paraId="4D236207" w14:textId="77777777" w:rsidR="00AB3330" w:rsidRDefault="00AB3330" w:rsidP="00AB3330">
      <w:r>
        <w:t xml:space="preserve">Gwarancja na miasteczko stacjonarne musi wynosić 5 lat </w:t>
      </w:r>
    </w:p>
    <w:p w14:paraId="61748699" w14:textId="77777777" w:rsidR="00AB3330" w:rsidRDefault="00AB3330" w:rsidP="00AB3330">
      <w:r>
        <w:t>Układ miasteczka – podobny jak na przedstawionej grafice</w:t>
      </w:r>
    </w:p>
    <w:p w14:paraId="760D1A50" w14:textId="703FC479" w:rsidR="00AB3330" w:rsidRDefault="00AB3330">
      <w:r>
        <w:rPr>
          <w:noProof/>
        </w:rPr>
        <w:drawing>
          <wp:inline distT="0" distB="0" distL="0" distR="0" wp14:anchorId="05320411" wp14:editId="14E354FA">
            <wp:extent cx="3298190" cy="3298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30"/>
    <w:rsid w:val="009F34B3"/>
    <w:rsid w:val="00A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07C2"/>
  <w15:chartTrackingRefBased/>
  <w15:docId w15:val="{107ADFA4-992A-4DB3-B19C-EB2322FF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w.lipska@glowczyce.pl</dc:creator>
  <cp:keywords/>
  <dc:description/>
  <cp:lastModifiedBy>w.lipska@glowczyce.pl</cp:lastModifiedBy>
  <cp:revision>3</cp:revision>
  <dcterms:created xsi:type="dcterms:W3CDTF">2022-04-26T11:35:00Z</dcterms:created>
  <dcterms:modified xsi:type="dcterms:W3CDTF">2022-04-26T11:36:00Z</dcterms:modified>
</cp:coreProperties>
</file>