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AC94" w14:textId="77777777" w:rsidR="007138F8" w:rsidRPr="00F372DB" w:rsidRDefault="007138F8" w:rsidP="00DA0E72">
      <w:pPr>
        <w:autoSpaceDE w:val="0"/>
        <w:autoSpaceDN w:val="0"/>
        <w:adjustRightInd w:val="0"/>
        <w:spacing w:line="360" w:lineRule="auto"/>
        <w:jc w:val="right"/>
        <w:rPr>
          <w:rFonts w:ascii="Verdana" w:eastAsia="Verdana" w:hAnsi="Verdana" w:cs="Tahoma"/>
          <w:color w:val="000000"/>
          <w:spacing w:val="4"/>
          <w:u w:val="single"/>
          <w:lang w:eastAsia="en-US"/>
        </w:rPr>
      </w:pPr>
      <w:r w:rsidRPr="00F372DB">
        <w:rPr>
          <w:rFonts w:ascii="Verdana" w:eastAsia="Verdana" w:hAnsi="Verdana" w:cs="Tahoma"/>
          <w:color w:val="000000"/>
          <w:spacing w:val="4"/>
          <w:u w:val="single"/>
          <w:lang w:eastAsia="en-US"/>
        </w:rPr>
        <w:t>Załącznik nr 1 do Informacji</w:t>
      </w:r>
    </w:p>
    <w:p w14:paraId="71B7A8C9" w14:textId="77777777" w:rsidR="007138F8" w:rsidRPr="00F372DB" w:rsidRDefault="007138F8" w:rsidP="0026151B">
      <w:p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Tahoma"/>
          <w:b/>
          <w:bCs/>
          <w:color w:val="000000"/>
          <w:spacing w:val="4"/>
          <w:lang w:eastAsia="en-US"/>
        </w:rPr>
      </w:pPr>
    </w:p>
    <w:p w14:paraId="246D7811" w14:textId="72563EE4" w:rsidR="007138F8" w:rsidRPr="00F372DB" w:rsidRDefault="007138F8" w:rsidP="0026151B">
      <w:p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Tahoma"/>
          <w:b/>
          <w:bCs/>
          <w:color w:val="000000"/>
          <w:spacing w:val="4"/>
          <w:lang w:eastAsia="en-US"/>
        </w:rPr>
      </w:pPr>
      <w:r w:rsidRPr="00F372DB">
        <w:rPr>
          <w:rFonts w:ascii="Verdana" w:eastAsia="Verdana" w:hAnsi="Verdana" w:cs="Tahoma"/>
          <w:b/>
          <w:bCs/>
          <w:color w:val="000000"/>
          <w:spacing w:val="4"/>
          <w:lang w:eastAsia="en-US"/>
        </w:rPr>
        <w:t>Opis przedmiotu wstępnych konsultacji rynkowych</w:t>
      </w:r>
    </w:p>
    <w:p w14:paraId="355DD4B4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b/>
          <w:bCs/>
          <w:color w:val="000000"/>
          <w:spacing w:val="4"/>
          <w:lang w:eastAsia="en-US"/>
        </w:rPr>
      </w:pPr>
    </w:p>
    <w:p w14:paraId="3603F2AA" w14:textId="0B71DE9E" w:rsidR="00B84955" w:rsidRPr="00F372DB" w:rsidRDefault="00B84955" w:rsidP="0026151B">
      <w:p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Tahoma"/>
          <w:b/>
          <w:bCs/>
          <w:color w:val="000000"/>
          <w:spacing w:val="4"/>
          <w:lang w:eastAsia="en-US"/>
        </w:rPr>
      </w:pPr>
      <w:r w:rsidRPr="00F372DB">
        <w:rPr>
          <w:rFonts w:ascii="Verdana" w:eastAsia="Verdana" w:hAnsi="Verdana" w:cs="Tahoma"/>
          <w:b/>
          <w:bCs/>
          <w:color w:val="000000"/>
          <w:spacing w:val="4"/>
          <w:lang w:eastAsia="en-US"/>
        </w:rPr>
        <w:t>Dotyczy:</w:t>
      </w:r>
    </w:p>
    <w:p w14:paraId="0B65E2E6" w14:textId="68A05D4F" w:rsidR="00B84955" w:rsidRPr="00F372DB" w:rsidRDefault="00B84955" w:rsidP="0026151B">
      <w:p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Tahoma"/>
          <w:color w:val="000000"/>
          <w:spacing w:val="4"/>
          <w:lang w:eastAsia="en-US"/>
        </w:rPr>
      </w:pPr>
      <w:r w:rsidRPr="00F372DB">
        <w:rPr>
          <w:rFonts w:ascii="Verdana" w:eastAsia="Verdana" w:hAnsi="Verdana" w:cs="Tahoma"/>
          <w:color w:val="000000"/>
          <w:spacing w:val="4"/>
          <w:lang w:eastAsia="en-US"/>
        </w:rPr>
        <w:t>Zakup oprogramowania inżynierskiego dla Sieci Badawczej Łukasiewicz.</w:t>
      </w:r>
    </w:p>
    <w:p w14:paraId="24B6AFB2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664A52E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5AEBA1D4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2CF258F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580492BF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0E262F96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0D273DD7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727F3D32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55C60C2B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54F9A4DF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3A695D88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6F5ECA45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0ACE2C0B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6D3B589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2D063D8C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6FAE1DAD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C95CD06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71112535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7C84E5C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22F4A903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0F50A9FC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25B911BF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0FAD141C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73ADA575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EB964F3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65C33075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4B7C87D1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775EDF7B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463BB58F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4FFEB253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5A966934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05C8CF29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7872D956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10CC18A4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4992C5CC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348E3E7E" w14:textId="02F5E4BE" w:rsidR="00205784" w:rsidRPr="00F372DB" w:rsidRDefault="00573ECD" w:rsidP="0026151B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  <w:r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  <w:t>Luty</w:t>
      </w:r>
      <w:r w:rsidR="00B84955" w:rsidRPr="00F372DB"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  <w:t xml:space="preserve"> 202</w:t>
      </w:r>
      <w:r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  <w:t>4</w:t>
      </w:r>
      <w:r w:rsidR="00B84955" w:rsidRPr="00F372DB"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  <w:t xml:space="preserve"> r.</w:t>
      </w:r>
      <w:r w:rsidR="00B84955" w:rsidRPr="00F372DB"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  <w:br w:type="page"/>
      </w:r>
    </w:p>
    <w:sdt>
      <w:sdtPr>
        <w:rPr>
          <w:rFonts w:ascii="Verdana" w:eastAsia="Times New Roman" w:hAnsi="Verdana" w:cs="Times New Roman"/>
          <w:color w:val="auto"/>
          <w:sz w:val="20"/>
          <w:szCs w:val="20"/>
        </w:rPr>
        <w:id w:val="-1246801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004954" w14:textId="37FCC974" w:rsidR="00205784" w:rsidRPr="00CC0A6C" w:rsidRDefault="00205784" w:rsidP="0026151B">
          <w:pPr>
            <w:pStyle w:val="Nagwekspisutreci"/>
            <w:spacing w:line="360" w:lineRule="auto"/>
            <w:jc w:val="both"/>
            <w:rPr>
              <w:rFonts w:ascii="Verdana" w:hAnsi="Verdana"/>
              <w:color w:val="auto"/>
            </w:rPr>
          </w:pPr>
          <w:r w:rsidRPr="00CC0A6C">
            <w:rPr>
              <w:rFonts w:ascii="Verdana" w:hAnsi="Verdana"/>
              <w:color w:val="auto"/>
            </w:rPr>
            <w:t>Spis treści</w:t>
          </w:r>
        </w:p>
        <w:p w14:paraId="2F1AA759" w14:textId="139AD0BF" w:rsidR="00573ECD" w:rsidRDefault="00205784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CC0A6C">
            <w:rPr>
              <w:rFonts w:ascii="Verdana" w:hAnsi="Verdana"/>
            </w:rPr>
            <w:fldChar w:fldCharType="begin"/>
          </w:r>
          <w:r w:rsidRPr="00CC0A6C">
            <w:rPr>
              <w:rFonts w:ascii="Verdana" w:hAnsi="Verdana"/>
            </w:rPr>
            <w:instrText xml:space="preserve"> TOC \o "1-3" \h \z \u </w:instrText>
          </w:r>
          <w:r w:rsidRPr="00CC0A6C">
            <w:rPr>
              <w:rFonts w:ascii="Verdana" w:hAnsi="Verdana"/>
            </w:rPr>
            <w:fldChar w:fldCharType="separate"/>
          </w:r>
          <w:hyperlink w:anchor="_Toc158039110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1.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Definicje przyjęte w dokumencie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_Toc158039110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3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2C92D5A1" w14:textId="15666224" w:rsidR="00573ECD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1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Opis przedmiotu wstępnych konsultacji rynkowych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_Toc158039111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4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181A423B" w14:textId="6212A6FD" w:rsidR="00573ECD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2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2.1.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Kontekst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_Toc158039112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4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426B8283" w14:textId="5CB244B6" w:rsidR="00573ECD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3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2.2.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Zakres usługi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_Toc158039113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5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317AB475" w14:textId="3E3442BC" w:rsidR="00573ECD" w:rsidRDefault="0000000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4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2.2.1.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Grupa docelowa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_Toc158039114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5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4B69B050" w14:textId="3E2F3628" w:rsidR="00573ECD" w:rsidRDefault="0000000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5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2.2.2.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Forma udostępnienia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_Toc158039115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5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309DD5AA" w14:textId="428B1CED" w:rsidR="00573ECD" w:rsidRDefault="00000000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6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2.2.3.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Zakres merytoryczny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_Toc158039116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5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321AA41D" w14:textId="2773CB86" w:rsidR="00573ECD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7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2.3.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Harmonogram realizacji wstępnych konsultacji rynkowych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_Toc158039117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7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4316BFB5" w14:textId="7A5C9E3B" w:rsidR="00573ECD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8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2.4.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Zespół projektowy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_Toc158039118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8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5AC54E0E" w14:textId="2BB5227E" w:rsidR="00573ECD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19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2.5.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Miejsce realizacji i narzędzia teleinformatyczne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_Toc158039119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8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5E505DFA" w14:textId="47065949" w:rsidR="00573ECD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039120" w:history="1"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3.</w:t>
            </w:r>
            <w:r w:rsidR="00573ECD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573ECD" w:rsidRPr="00770AA7">
              <w:rPr>
                <w:rStyle w:val="Hipercze"/>
                <w:rFonts w:ascii="Verdana" w:eastAsia="Verdana" w:hAnsi="Verdana"/>
                <w:b/>
                <w:bCs/>
                <w:noProof/>
                <w:lang w:eastAsia="en-US"/>
              </w:rPr>
              <w:t>Informacje dodatkowe</w:t>
            </w:r>
            <w:r w:rsidR="00573ECD">
              <w:rPr>
                <w:noProof/>
                <w:webHidden/>
              </w:rPr>
              <w:tab/>
            </w:r>
            <w:r w:rsidR="00573ECD">
              <w:rPr>
                <w:noProof/>
                <w:webHidden/>
              </w:rPr>
              <w:fldChar w:fldCharType="begin"/>
            </w:r>
            <w:r w:rsidR="00573ECD">
              <w:rPr>
                <w:noProof/>
                <w:webHidden/>
              </w:rPr>
              <w:instrText xml:space="preserve"> PAGEREF _Toc158039120 \h </w:instrText>
            </w:r>
            <w:r w:rsidR="00573ECD">
              <w:rPr>
                <w:noProof/>
                <w:webHidden/>
              </w:rPr>
            </w:r>
            <w:r w:rsidR="00573ECD">
              <w:rPr>
                <w:noProof/>
                <w:webHidden/>
              </w:rPr>
              <w:fldChar w:fldCharType="separate"/>
            </w:r>
            <w:r w:rsidR="00573ECD">
              <w:rPr>
                <w:noProof/>
                <w:webHidden/>
              </w:rPr>
              <w:t>9</w:t>
            </w:r>
            <w:r w:rsidR="00573ECD">
              <w:rPr>
                <w:noProof/>
                <w:webHidden/>
              </w:rPr>
              <w:fldChar w:fldCharType="end"/>
            </w:r>
          </w:hyperlink>
        </w:p>
        <w:p w14:paraId="360A0863" w14:textId="4C32396E" w:rsidR="00205784" w:rsidRPr="00F372DB" w:rsidRDefault="00205784" w:rsidP="0026151B">
          <w:pPr>
            <w:spacing w:line="360" w:lineRule="auto"/>
            <w:jc w:val="both"/>
            <w:rPr>
              <w:rFonts w:ascii="Verdana" w:hAnsi="Verdana"/>
            </w:rPr>
          </w:pPr>
          <w:r w:rsidRPr="00CC0A6C">
            <w:rPr>
              <w:rFonts w:ascii="Verdana" w:hAnsi="Verdana"/>
              <w:b/>
              <w:bCs/>
            </w:rPr>
            <w:fldChar w:fldCharType="end"/>
          </w:r>
        </w:p>
      </w:sdtContent>
    </w:sdt>
    <w:p w14:paraId="6363271A" w14:textId="6DE0040F" w:rsidR="00B84955" w:rsidRPr="00F372DB" w:rsidRDefault="00205784" w:rsidP="0026151B">
      <w:pPr>
        <w:spacing w:after="160" w:line="360" w:lineRule="auto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  <w:r w:rsidRPr="00F372DB"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  <w:br w:type="page"/>
      </w:r>
    </w:p>
    <w:p w14:paraId="1BAD4C39" w14:textId="0D4E4697" w:rsidR="0016718C" w:rsidRDefault="00B84955" w:rsidP="0026151B">
      <w:pPr>
        <w:pStyle w:val="Nagwek1"/>
        <w:numPr>
          <w:ilvl w:val="0"/>
          <w:numId w:val="2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0" w:name="_Toc158039110"/>
      <w:r w:rsidRPr="00F372DB">
        <w:rPr>
          <w:rFonts w:ascii="Verdana" w:eastAsia="Verdana" w:hAnsi="Verdana"/>
          <w:b/>
          <w:bCs/>
          <w:color w:val="auto"/>
          <w:lang w:eastAsia="en-US"/>
        </w:rPr>
        <w:lastRenderedPageBreak/>
        <w:t>Definicje przyjęte w dokumencie</w:t>
      </w:r>
      <w:bookmarkEnd w:id="0"/>
    </w:p>
    <w:p w14:paraId="4EAE6562" w14:textId="77777777" w:rsidR="00F372DB" w:rsidRPr="00F372DB" w:rsidRDefault="00F372DB" w:rsidP="0026151B">
      <w:pPr>
        <w:spacing w:line="360" w:lineRule="auto"/>
        <w:jc w:val="both"/>
        <w:rPr>
          <w:rFonts w:eastAsia="Verdana"/>
          <w:lang w:eastAsia="en-US"/>
        </w:rPr>
      </w:pPr>
    </w:p>
    <w:p w14:paraId="78E4B51D" w14:textId="78E3A1E7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CŁ</w:t>
      </w:r>
      <w:r w:rsidRPr="00F372DB">
        <w:rPr>
          <w:rFonts w:ascii="Verdana" w:eastAsia="Verdana" w:hAnsi="Verdana"/>
          <w:lang w:eastAsia="en-US"/>
        </w:rPr>
        <w:t xml:space="preserve"> – Centrum Łukasiewicz</w:t>
      </w:r>
      <w:r>
        <w:rPr>
          <w:rFonts w:ascii="Verdana" w:eastAsia="Verdana" w:hAnsi="Verdana"/>
          <w:lang w:eastAsia="en-US"/>
        </w:rPr>
        <w:t>.</w:t>
      </w:r>
    </w:p>
    <w:p w14:paraId="2FE67068" w14:textId="4FC71892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IŁ</w:t>
      </w:r>
      <w:r w:rsidRPr="00F372DB">
        <w:rPr>
          <w:rFonts w:ascii="Verdana" w:eastAsia="Verdana" w:hAnsi="Verdana"/>
          <w:lang w:eastAsia="en-US"/>
        </w:rPr>
        <w:t xml:space="preserve"> – </w:t>
      </w:r>
      <w:r>
        <w:rPr>
          <w:rFonts w:ascii="Verdana" w:eastAsia="Verdana" w:hAnsi="Verdana"/>
          <w:lang w:eastAsia="en-US"/>
        </w:rPr>
        <w:t>Instytut lub Instytuty Łukasiewicza.</w:t>
      </w:r>
    </w:p>
    <w:p w14:paraId="39572B49" w14:textId="24068A68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Łukasiewicz</w:t>
      </w:r>
      <w:r w:rsidRPr="00F372DB">
        <w:rPr>
          <w:rFonts w:ascii="Verdana" w:eastAsia="Verdana" w:hAnsi="Verdana"/>
          <w:lang w:eastAsia="en-US"/>
        </w:rPr>
        <w:t xml:space="preserve"> –</w:t>
      </w:r>
      <w:r>
        <w:rPr>
          <w:rFonts w:ascii="Verdana" w:eastAsia="Verdana" w:hAnsi="Verdana"/>
          <w:lang w:eastAsia="en-US"/>
        </w:rPr>
        <w:t xml:space="preserve"> Sieć Badawcza Łukasiewicza.</w:t>
      </w:r>
    </w:p>
    <w:p w14:paraId="2560BB35" w14:textId="54688019" w:rsidR="00F372DB" w:rsidRPr="00F372DB" w:rsidRDefault="000B7716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>
        <w:rPr>
          <w:rFonts w:ascii="Verdana" w:eastAsia="Verdana" w:hAnsi="Verdana"/>
          <w:b/>
          <w:bCs/>
          <w:lang w:eastAsia="en-US"/>
        </w:rPr>
        <w:t>Zespół projektowy</w:t>
      </w:r>
      <w:r w:rsidR="00F372DB" w:rsidRPr="00F372DB">
        <w:rPr>
          <w:rFonts w:ascii="Verdana" w:eastAsia="Verdana" w:hAnsi="Verdana"/>
          <w:lang w:eastAsia="en-US"/>
        </w:rPr>
        <w:t xml:space="preserve"> – </w:t>
      </w:r>
      <w:r w:rsidR="00F372DB">
        <w:rPr>
          <w:rFonts w:ascii="Verdana" w:eastAsia="Verdana" w:hAnsi="Verdana"/>
          <w:lang w:eastAsia="en-US"/>
        </w:rPr>
        <w:t>Grupa pracowników Łukasiewicza biorąca udział w wstępnych konsultacjach rynkowych.</w:t>
      </w:r>
    </w:p>
    <w:p w14:paraId="135C5647" w14:textId="607EBB48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Wykonawca</w:t>
      </w:r>
      <w:r w:rsidRPr="00F372DB">
        <w:rPr>
          <w:rFonts w:ascii="Verdana" w:eastAsia="Verdana" w:hAnsi="Verdana"/>
          <w:lang w:eastAsia="en-US"/>
        </w:rPr>
        <w:t xml:space="preserve"> – </w:t>
      </w:r>
      <w:r>
        <w:rPr>
          <w:rFonts w:ascii="Verdana" w:eastAsia="Verdana" w:hAnsi="Verdana"/>
          <w:lang w:eastAsia="en-US"/>
        </w:rPr>
        <w:t>Osoba fizyczna, osoba prawna albo jednostka organizacyjna nieposiadająca osobowości prawnej, oferująca usługi w ramach niniejszego Zapytania.</w:t>
      </w:r>
    </w:p>
    <w:p w14:paraId="2866979B" w14:textId="3FB2285C" w:rsidR="00B1738F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Kierownik projektu CŁ</w:t>
      </w:r>
      <w:r w:rsidRPr="00F372DB">
        <w:rPr>
          <w:rFonts w:ascii="Verdana" w:eastAsia="Verdana" w:hAnsi="Verdana"/>
          <w:lang w:eastAsia="en-US"/>
        </w:rPr>
        <w:t xml:space="preserve"> – </w:t>
      </w:r>
      <w:r w:rsidR="00B1738F">
        <w:rPr>
          <w:rFonts w:ascii="Verdana" w:eastAsia="Verdana" w:hAnsi="Verdana"/>
          <w:lang w:eastAsia="en-US"/>
        </w:rPr>
        <w:t xml:space="preserve">Pracownik Łukasiewicza zarządzający projektem po stronie </w:t>
      </w:r>
      <w:r w:rsidR="00DA0E72">
        <w:rPr>
          <w:rFonts w:ascii="Verdana" w:eastAsia="Verdana" w:hAnsi="Verdana"/>
          <w:lang w:eastAsia="en-US"/>
        </w:rPr>
        <w:t>Z</w:t>
      </w:r>
      <w:r w:rsidR="00B1738F">
        <w:rPr>
          <w:rFonts w:ascii="Verdana" w:eastAsia="Verdana" w:hAnsi="Verdana"/>
          <w:lang w:eastAsia="en-US"/>
        </w:rPr>
        <w:t>amawiającego.</w:t>
      </w:r>
    </w:p>
    <w:p w14:paraId="5606E9A6" w14:textId="065D0C28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PZP</w:t>
      </w:r>
      <w:r w:rsidRPr="00F372DB">
        <w:rPr>
          <w:rFonts w:ascii="Verdana" w:eastAsia="Verdana" w:hAnsi="Verdana"/>
          <w:lang w:eastAsia="en-US"/>
        </w:rPr>
        <w:t xml:space="preserve"> – </w:t>
      </w:r>
      <w:r w:rsidR="00B1738F">
        <w:rPr>
          <w:rFonts w:ascii="Verdana" w:eastAsia="Verdana" w:hAnsi="Verdana"/>
          <w:lang w:eastAsia="en-US"/>
        </w:rPr>
        <w:t>Prawo Zamówień Publicznych.</w:t>
      </w:r>
    </w:p>
    <w:p w14:paraId="6C720BFC" w14:textId="5C880C38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Zamawiający</w:t>
      </w:r>
      <w:r w:rsidRPr="00F372DB">
        <w:rPr>
          <w:rFonts w:ascii="Verdana" w:eastAsia="Verdana" w:hAnsi="Verdana"/>
          <w:lang w:eastAsia="en-US"/>
        </w:rPr>
        <w:t xml:space="preserve"> –</w:t>
      </w:r>
      <w:r w:rsidR="00B1738F">
        <w:rPr>
          <w:rFonts w:ascii="Verdana" w:eastAsia="Verdana" w:hAnsi="Verdana"/>
          <w:lang w:eastAsia="en-US"/>
        </w:rPr>
        <w:t xml:space="preserve"> </w:t>
      </w:r>
      <w:r w:rsidR="00DA0E72">
        <w:rPr>
          <w:rFonts w:ascii="Verdana" w:eastAsia="Verdana" w:hAnsi="Verdana"/>
          <w:lang w:eastAsia="en-US"/>
        </w:rPr>
        <w:t xml:space="preserve">Sieć Badawcza Łukasiewicz – Poznański Instytut Technologiczny </w:t>
      </w:r>
    </w:p>
    <w:p w14:paraId="4E54F8D0" w14:textId="73550B72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t>Usługa</w:t>
      </w:r>
      <w:r w:rsidRPr="00F372DB">
        <w:rPr>
          <w:rFonts w:ascii="Verdana" w:eastAsia="Verdana" w:hAnsi="Verdana"/>
          <w:lang w:eastAsia="en-US"/>
        </w:rPr>
        <w:t xml:space="preserve"> –</w:t>
      </w:r>
      <w:r w:rsidR="00B1738F">
        <w:rPr>
          <w:rFonts w:ascii="Verdana" w:eastAsia="Verdana" w:hAnsi="Verdana"/>
          <w:lang w:eastAsia="en-US"/>
        </w:rPr>
        <w:t xml:space="preserve"> Usługa będąca przedmiotem niniejszego Zapytania.</w:t>
      </w:r>
    </w:p>
    <w:p w14:paraId="1FFF8EDC" w14:textId="77777777" w:rsidR="00F372DB" w:rsidRPr="00F372DB" w:rsidRDefault="00F372DB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</w:p>
    <w:p w14:paraId="7786E6B9" w14:textId="2CAE995D" w:rsidR="00B84955" w:rsidRPr="00F372DB" w:rsidRDefault="0016718C" w:rsidP="0026151B">
      <w:pPr>
        <w:spacing w:after="160" w:line="360" w:lineRule="auto"/>
        <w:jc w:val="both"/>
        <w:rPr>
          <w:rFonts w:ascii="Verdana" w:eastAsia="Verdana" w:hAnsi="Verdana" w:cstheme="majorBidi"/>
          <w:b/>
          <w:bCs/>
          <w:sz w:val="32"/>
          <w:szCs w:val="32"/>
          <w:lang w:eastAsia="en-US"/>
        </w:rPr>
      </w:pPr>
      <w:r w:rsidRPr="00F372DB">
        <w:rPr>
          <w:rFonts w:ascii="Verdana" w:eastAsia="Verdana" w:hAnsi="Verdana"/>
          <w:b/>
          <w:bCs/>
          <w:lang w:eastAsia="en-US"/>
        </w:rPr>
        <w:br w:type="page"/>
      </w:r>
    </w:p>
    <w:p w14:paraId="7D7B3D52" w14:textId="59953BA8" w:rsidR="0016718C" w:rsidRDefault="00B84955" w:rsidP="0026151B">
      <w:pPr>
        <w:pStyle w:val="Nagwek1"/>
        <w:numPr>
          <w:ilvl w:val="0"/>
          <w:numId w:val="2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1" w:name="_Toc158039111"/>
      <w:r w:rsidRPr="00F372DB">
        <w:rPr>
          <w:rFonts w:ascii="Verdana" w:eastAsia="Verdana" w:hAnsi="Verdana"/>
          <w:b/>
          <w:bCs/>
          <w:color w:val="auto"/>
          <w:lang w:eastAsia="en-US"/>
        </w:rPr>
        <w:lastRenderedPageBreak/>
        <w:t>Opis przedmiotu wstępnych konsultacji rynkowyc</w:t>
      </w:r>
      <w:r w:rsidR="0016718C" w:rsidRPr="00F372DB">
        <w:rPr>
          <w:rFonts w:ascii="Verdana" w:eastAsia="Verdana" w:hAnsi="Verdana"/>
          <w:b/>
          <w:bCs/>
          <w:color w:val="auto"/>
          <w:lang w:eastAsia="en-US"/>
        </w:rPr>
        <w:t>h</w:t>
      </w:r>
      <w:bookmarkEnd w:id="1"/>
    </w:p>
    <w:p w14:paraId="45E59CD4" w14:textId="77777777" w:rsidR="000B7716" w:rsidRPr="000B7716" w:rsidRDefault="000B7716" w:rsidP="0026151B">
      <w:pPr>
        <w:jc w:val="both"/>
        <w:rPr>
          <w:rFonts w:eastAsia="Verdana"/>
          <w:lang w:eastAsia="en-US"/>
        </w:rPr>
      </w:pPr>
    </w:p>
    <w:p w14:paraId="51234346" w14:textId="77777777" w:rsidR="0016718C" w:rsidRPr="00F372DB" w:rsidRDefault="0016718C" w:rsidP="002615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Verdana" w:hAnsi="Verdana"/>
          <w:vanish/>
          <w:lang w:eastAsia="en-US"/>
        </w:rPr>
      </w:pPr>
    </w:p>
    <w:p w14:paraId="276DF307" w14:textId="77777777" w:rsidR="0016718C" w:rsidRPr="00F372DB" w:rsidRDefault="0016718C" w:rsidP="0026151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eastAsia="Verdana" w:hAnsi="Verdana"/>
          <w:vanish/>
          <w:lang w:eastAsia="en-US"/>
        </w:rPr>
      </w:pPr>
    </w:p>
    <w:p w14:paraId="4F5330E3" w14:textId="50D8C798" w:rsidR="0016718C" w:rsidRPr="00F028C2" w:rsidRDefault="0016718C" w:rsidP="0026151B">
      <w:pPr>
        <w:pStyle w:val="Nagwek2"/>
        <w:numPr>
          <w:ilvl w:val="1"/>
          <w:numId w:val="5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2" w:name="_Toc158039112"/>
      <w:r w:rsidRPr="00F028C2">
        <w:rPr>
          <w:rFonts w:ascii="Verdana" w:eastAsia="Verdana" w:hAnsi="Verdana"/>
          <w:b/>
          <w:bCs/>
          <w:color w:val="auto"/>
          <w:lang w:eastAsia="en-US"/>
        </w:rPr>
        <w:t>Kontekst</w:t>
      </w:r>
      <w:bookmarkEnd w:id="2"/>
    </w:p>
    <w:p w14:paraId="23AD27AD" w14:textId="5E9959B4" w:rsidR="00216914" w:rsidRPr="00F028C2" w:rsidRDefault="000C0B0D" w:rsidP="00573ECD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>Łukasiewicz, na obecnym etapie rozwoju organizacyjnego kładzie ogromny nacisk na rozwój kompetencji</w:t>
      </w:r>
      <w:r w:rsidR="00F028C2">
        <w:rPr>
          <w:rFonts w:ascii="Verdana" w:eastAsia="Verdana" w:hAnsi="Verdana"/>
          <w:lang w:eastAsia="en-US"/>
        </w:rPr>
        <w:t xml:space="preserve"> </w:t>
      </w:r>
      <w:r w:rsidRPr="00F028C2">
        <w:rPr>
          <w:rFonts w:ascii="Verdana" w:eastAsia="Verdana" w:hAnsi="Verdana"/>
          <w:lang w:eastAsia="en-US"/>
        </w:rPr>
        <w:t xml:space="preserve">i konkurencyjności instytutów, które utworzyły Łukasiewicza, przy jednoczesnym uwolnieniu potencjału wynikającego z integracji i ustawiczny rozwój tych jednostek. W ramach budowania doskonałości organizacyjnej oraz podnoszenia konkurencyjności </w:t>
      </w:r>
      <w:r w:rsidR="00216914" w:rsidRPr="00F028C2">
        <w:rPr>
          <w:rFonts w:ascii="Verdana" w:eastAsia="Verdana" w:hAnsi="Verdana"/>
          <w:lang w:eastAsia="en-US"/>
        </w:rPr>
        <w:t>Łukasiewicza Instytuty aktywnie poszukują rozwiązań optymalizujących pracę w zakresie badań i rozwoju. Istotnym elementem powyższych działań są systemy IT zapewniające zdolność do efektywnej realizacji stawianych przed I</w:t>
      </w:r>
      <w:r w:rsidR="00D30848" w:rsidRPr="00F028C2">
        <w:rPr>
          <w:rFonts w:ascii="Verdana" w:eastAsia="Verdana" w:hAnsi="Verdana"/>
          <w:lang w:eastAsia="en-US"/>
        </w:rPr>
        <w:t>nstytutami Łukasiewicza</w:t>
      </w:r>
      <w:r w:rsidR="00216914" w:rsidRPr="00F028C2">
        <w:rPr>
          <w:rFonts w:ascii="Verdana" w:eastAsia="Verdana" w:hAnsi="Verdana"/>
          <w:lang w:eastAsia="en-US"/>
        </w:rPr>
        <w:t xml:space="preserve"> zadań.</w:t>
      </w:r>
    </w:p>
    <w:p w14:paraId="2A8B082E" w14:textId="77777777" w:rsidR="00216914" w:rsidRPr="00F028C2" w:rsidRDefault="00216914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</w:p>
    <w:p w14:paraId="759C5F98" w14:textId="180387D8" w:rsidR="00B1738F" w:rsidRPr="00F028C2" w:rsidRDefault="00D30848" w:rsidP="00573ECD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 xml:space="preserve">Różnorodność Instytutów Łukasiewicza oraz zmieniające się wymagania rynku determinują poszukiwanie optymalnych rozwiązań z zakresu oprogramowania inżynierskiego. Obecnie posiadana wiedza i doświadczenie </w:t>
      </w:r>
      <w:r w:rsidR="00216914" w:rsidRPr="00F028C2">
        <w:rPr>
          <w:rFonts w:ascii="Verdana" w:eastAsia="Verdana" w:hAnsi="Verdana"/>
          <w:lang w:eastAsia="en-US"/>
        </w:rPr>
        <w:t xml:space="preserve"> </w:t>
      </w:r>
      <w:r w:rsidRPr="00F028C2">
        <w:rPr>
          <w:rFonts w:ascii="Verdana" w:eastAsia="Verdana" w:hAnsi="Verdana"/>
          <w:lang w:eastAsia="en-US"/>
        </w:rPr>
        <w:t xml:space="preserve">pozwala instytutom na skonkretyzowanie wymagań dotyczących narzędzi </w:t>
      </w:r>
      <w:r w:rsidR="00B90C63" w:rsidRPr="00F028C2">
        <w:rPr>
          <w:rFonts w:ascii="Verdana" w:eastAsia="Verdana" w:hAnsi="Verdana"/>
          <w:lang w:eastAsia="en-US"/>
        </w:rPr>
        <w:t>z zakresu oprogramowania inżynierskiego.</w:t>
      </w:r>
    </w:p>
    <w:p w14:paraId="596982E1" w14:textId="77777777" w:rsidR="00B90C63" w:rsidRPr="00F028C2" w:rsidRDefault="00B90C63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</w:p>
    <w:p w14:paraId="7BC0BA4C" w14:textId="0872D562" w:rsidR="00B90C63" w:rsidRPr="00F028C2" w:rsidRDefault="00B90C63" w:rsidP="00573ECD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 xml:space="preserve">Uruchomienie wstępnych konsultacji rynkowych </w:t>
      </w:r>
      <w:r w:rsidR="00CC0A6C">
        <w:rPr>
          <w:rFonts w:ascii="Verdana" w:eastAsia="Verdana" w:hAnsi="Verdana"/>
          <w:lang w:eastAsia="en-US"/>
        </w:rPr>
        <w:t>m</w:t>
      </w:r>
      <w:r w:rsidRPr="00F028C2">
        <w:rPr>
          <w:rFonts w:ascii="Verdana" w:eastAsia="Verdana" w:hAnsi="Verdana"/>
          <w:lang w:eastAsia="en-US"/>
        </w:rPr>
        <w:t xml:space="preserve">a </w:t>
      </w:r>
      <w:r w:rsidR="00CC0A6C">
        <w:rPr>
          <w:rFonts w:ascii="Verdana" w:eastAsia="Verdana" w:hAnsi="Verdana"/>
          <w:lang w:eastAsia="en-US"/>
        </w:rPr>
        <w:t>n</w:t>
      </w:r>
      <w:r w:rsidRPr="00F028C2">
        <w:rPr>
          <w:rFonts w:ascii="Verdana" w:eastAsia="Verdana" w:hAnsi="Verdana"/>
          <w:lang w:eastAsia="en-US"/>
        </w:rPr>
        <w:t>a celu przegląd oferowanych na rynku IT rozwiązań dotyczących oprogramowania inżynierskiego oraz aktualizację wiedzy nt. już posiadanych rozwiązań z tego zakresu. Nieodpłatne udostępnienie IŁ licencji testowych wraz z wsparciem technicznym na okres 3-6 miesięcy pozwoli na zmierzenie zapotrzebowania na dany rodzaj oprogramowania oraz pozwoli na lepsze przygotowanie dokumentacji przetargowej na globalny zakup oprogramowania inżynierskiego dla Łukasiewicza.</w:t>
      </w:r>
    </w:p>
    <w:p w14:paraId="301AB993" w14:textId="73D1C98D" w:rsidR="00B90C63" w:rsidRPr="00B1738F" w:rsidRDefault="00B90C63" w:rsidP="0026151B">
      <w:pPr>
        <w:spacing w:after="160" w:line="360" w:lineRule="auto"/>
        <w:jc w:val="both"/>
        <w:rPr>
          <w:rFonts w:eastAsia="Verdana"/>
          <w:lang w:eastAsia="en-US"/>
        </w:rPr>
      </w:pPr>
      <w:r>
        <w:rPr>
          <w:rFonts w:eastAsia="Verdana"/>
          <w:lang w:eastAsia="en-US"/>
        </w:rPr>
        <w:br w:type="page"/>
      </w:r>
    </w:p>
    <w:p w14:paraId="77BEE7D4" w14:textId="74F8412A" w:rsidR="00F028C2" w:rsidRPr="00F028C2" w:rsidRDefault="0016718C" w:rsidP="0026151B">
      <w:pPr>
        <w:pStyle w:val="Nagwek2"/>
        <w:numPr>
          <w:ilvl w:val="1"/>
          <w:numId w:val="5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3" w:name="_Toc158039113"/>
      <w:r w:rsidRPr="00F028C2">
        <w:rPr>
          <w:rFonts w:ascii="Verdana" w:eastAsia="Verdana" w:hAnsi="Verdana"/>
          <w:b/>
          <w:bCs/>
          <w:color w:val="auto"/>
          <w:lang w:eastAsia="en-US"/>
        </w:rPr>
        <w:lastRenderedPageBreak/>
        <w:t>Zakres usług</w:t>
      </w:r>
      <w:r w:rsidR="00F028C2" w:rsidRPr="00F028C2">
        <w:rPr>
          <w:rFonts w:ascii="Verdana" w:eastAsia="Verdana" w:hAnsi="Verdana"/>
          <w:b/>
          <w:bCs/>
          <w:color w:val="auto"/>
          <w:lang w:eastAsia="en-US"/>
        </w:rPr>
        <w:t>i</w:t>
      </w:r>
      <w:bookmarkEnd w:id="3"/>
    </w:p>
    <w:p w14:paraId="6B3C3345" w14:textId="3CBA6302" w:rsidR="00F028C2" w:rsidRPr="00F028C2" w:rsidRDefault="00F028C2" w:rsidP="0026151B">
      <w:pPr>
        <w:pStyle w:val="Nagwek2"/>
        <w:numPr>
          <w:ilvl w:val="2"/>
          <w:numId w:val="5"/>
        </w:numPr>
        <w:jc w:val="both"/>
        <w:rPr>
          <w:rFonts w:ascii="Verdana" w:eastAsia="Verdana" w:hAnsi="Verdana"/>
          <w:b/>
          <w:bCs/>
          <w:lang w:eastAsia="en-US"/>
        </w:rPr>
      </w:pPr>
      <w:bookmarkStart w:id="4" w:name="_Toc158039114"/>
      <w:r w:rsidRPr="00F028C2">
        <w:rPr>
          <w:rFonts w:ascii="Verdana" w:eastAsia="Verdana" w:hAnsi="Verdana"/>
          <w:b/>
          <w:bCs/>
          <w:color w:val="auto"/>
          <w:lang w:eastAsia="en-US"/>
        </w:rPr>
        <w:t>Grupa docelowa</w:t>
      </w:r>
      <w:bookmarkEnd w:id="4"/>
    </w:p>
    <w:p w14:paraId="3100EE55" w14:textId="77777777" w:rsidR="00F028C2" w:rsidRPr="00F028C2" w:rsidRDefault="00F028C2" w:rsidP="0026151B">
      <w:pPr>
        <w:jc w:val="both"/>
        <w:rPr>
          <w:rFonts w:eastAsia="Verdana"/>
          <w:lang w:eastAsia="en-US"/>
        </w:rPr>
      </w:pPr>
    </w:p>
    <w:p w14:paraId="02EE36A7" w14:textId="3771E06E" w:rsidR="00B90C63" w:rsidRPr="00F028C2" w:rsidRDefault="00B90C63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 xml:space="preserve">Instytuty Łukasiewicza zostały podzielone przez </w:t>
      </w:r>
      <w:r w:rsidR="000B7716">
        <w:rPr>
          <w:rFonts w:ascii="Verdana" w:eastAsia="Verdana" w:hAnsi="Verdana"/>
          <w:lang w:eastAsia="en-US"/>
        </w:rPr>
        <w:t>Zespół projektowy</w:t>
      </w:r>
      <w:r w:rsidRPr="00F028C2">
        <w:rPr>
          <w:rFonts w:ascii="Verdana" w:eastAsia="Verdana" w:hAnsi="Verdana"/>
          <w:lang w:eastAsia="en-US"/>
        </w:rPr>
        <w:t xml:space="preserve"> na trzy grupy:</w:t>
      </w:r>
    </w:p>
    <w:p w14:paraId="43FC704B" w14:textId="779AC009" w:rsidR="00B90C63" w:rsidRPr="00F028C2" w:rsidRDefault="00B90C63" w:rsidP="0026151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>Grupa 1 – Instytuty korzystające obecnie z konkretnych nierzadko jedynych rozwiązań z zakresu oprogramowania inżynierskiego zorientowane na zakup nowszej wersji oprogramowania lub zwiększenie/zmianę sposobu licencjonowania.</w:t>
      </w:r>
    </w:p>
    <w:p w14:paraId="79DA3C8B" w14:textId="2DC990FB" w:rsidR="00B90C63" w:rsidRPr="00F028C2" w:rsidRDefault="00B90C63" w:rsidP="0026151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>Grupa 2 – Instytuty korzystające obecnie z konkretnych rozwiązań z zakresu oprogramowania inżynierskiego zainteresowane testowaniem/zakupem rozwiązań konkurencyjnych do obecnie stosowanych.</w:t>
      </w:r>
    </w:p>
    <w:p w14:paraId="234B82CD" w14:textId="5147A0E4" w:rsidR="00F028C2" w:rsidRPr="00F028C2" w:rsidRDefault="00B90C63" w:rsidP="0026151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F028C2">
        <w:rPr>
          <w:rFonts w:ascii="Verdana" w:eastAsia="Verdana" w:hAnsi="Verdana"/>
          <w:lang w:eastAsia="en-US"/>
        </w:rPr>
        <w:t>Grupa 3 – Instytuty obecnie nie korzystające z danego zakresu oprogramowania inżynierskiego zorientowane na podniesienie kompetencji i zainteresowane testowaniem/zakupem oferowanych na rynku rozwiązań z zakresu oprogramowania inżynierskiego.</w:t>
      </w:r>
    </w:p>
    <w:p w14:paraId="3CE7CEDC" w14:textId="640FD4BD" w:rsidR="00F028C2" w:rsidRPr="00F028C2" w:rsidRDefault="00F028C2" w:rsidP="0026151B">
      <w:pPr>
        <w:pStyle w:val="Nagwek2"/>
        <w:numPr>
          <w:ilvl w:val="2"/>
          <w:numId w:val="5"/>
        </w:numPr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5" w:name="_Toc158039115"/>
      <w:r w:rsidRPr="00F028C2">
        <w:rPr>
          <w:rFonts w:ascii="Verdana" w:eastAsia="Verdana" w:hAnsi="Verdana"/>
          <w:b/>
          <w:bCs/>
          <w:color w:val="auto"/>
          <w:lang w:eastAsia="en-US"/>
        </w:rPr>
        <w:t>Forma udostępnienia</w:t>
      </w:r>
      <w:bookmarkEnd w:id="5"/>
    </w:p>
    <w:p w14:paraId="360EC8F7" w14:textId="77777777" w:rsidR="00F028C2" w:rsidRPr="00F028C2" w:rsidRDefault="00F028C2" w:rsidP="0026151B">
      <w:pPr>
        <w:spacing w:line="360" w:lineRule="auto"/>
        <w:jc w:val="both"/>
        <w:rPr>
          <w:rFonts w:eastAsia="Verdana"/>
          <w:lang w:eastAsia="en-US"/>
        </w:rPr>
      </w:pPr>
    </w:p>
    <w:p w14:paraId="15D19077" w14:textId="5CC4C325" w:rsidR="00F028C2" w:rsidRDefault="00F028C2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>
        <w:rPr>
          <w:rFonts w:ascii="Verdana" w:eastAsia="Verdana" w:hAnsi="Verdana"/>
          <w:lang w:eastAsia="en-US"/>
        </w:rPr>
        <w:t xml:space="preserve">W celu rzetelnej oceny oferowanego na rynku oprogramowania inżynierskiego </w:t>
      </w:r>
      <w:r w:rsidRPr="00DA0E72">
        <w:rPr>
          <w:rFonts w:ascii="Verdana" w:eastAsia="Verdana" w:hAnsi="Verdana"/>
          <w:b/>
          <w:bCs/>
          <w:lang w:eastAsia="en-US"/>
        </w:rPr>
        <w:t>Zamawiający oczekuje od Wykonawcy nieodpłatnego udostępnienia testowych licencji</w:t>
      </w:r>
      <w:r w:rsidR="00511C89" w:rsidRPr="00DA0E72">
        <w:rPr>
          <w:rFonts w:ascii="Verdana" w:eastAsia="Verdana" w:hAnsi="Verdana"/>
          <w:b/>
          <w:bCs/>
          <w:lang w:eastAsia="en-US"/>
        </w:rPr>
        <w:t xml:space="preserve"> oferowanego przez niego oprogramowania na okres 3-6 miesięcy przy założeniu, że licencje będą dostępne na serwerze licencji a nie na stacjach roboczych w IŁ.</w:t>
      </w:r>
      <w:r w:rsidR="00511C89">
        <w:rPr>
          <w:rFonts w:ascii="Verdana" w:eastAsia="Verdana" w:hAnsi="Verdana"/>
          <w:lang w:eastAsia="en-US"/>
        </w:rPr>
        <w:t xml:space="preserve"> Zamawiający oczekuj</w:t>
      </w:r>
      <w:r w:rsidR="00DA0E72">
        <w:rPr>
          <w:rFonts w:ascii="Verdana" w:eastAsia="Verdana" w:hAnsi="Verdana"/>
          <w:lang w:eastAsia="en-US"/>
        </w:rPr>
        <w:t>e</w:t>
      </w:r>
      <w:r w:rsidR="00511C89">
        <w:rPr>
          <w:rFonts w:ascii="Verdana" w:eastAsia="Verdana" w:hAnsi="Verdana"/>
          <w:lang w:eastAsia="en-US"/>
        </w:rPr>
        <w:t xml:space="preserve"> również pełnego wsparcia technicznego</w:t>
      </w:r>
      <w:r w:rsidR="003A781B">
        <w:rPr>
          <w:rFonts w:ascii="Verdana" w:eastAsia="Verdana" w:hAnsi="Verdana"/>
          <w:lang w:eastAsia="en-US"/>
        </w:rPr>
        <w:br/>
      </w:r>
      <w:r w:rsidR="00511C89">
        <w:rPr>
          <w:rFonts w:ascii="Verdana" w:eastAsia="Verdana" w:hAnsi="Verdana"/>
          <w:lang w:eastAsia="en-US"/>
        </w:rPr>
        <w:t>w zakresie użytkowanych licencji na okres testowania zgodnie z harmonogramem realizacji usługi</w:t>
      </w:r>
      <w:r w:rsidR="00CC0A6C">
        <w:rPr>
          <w:rFonts w:ascii="Verdana" w:eastAsia="Verdana" w:hAnsi="Verdana"/>
          <w:lang w:eastAsia="en-US"/>
        </w:rPr>
        <w:t xml:space="preserve"> oraz dostarczenia licencji na czas szkolenia</w:t>
      </w:r>
      <w:r w:rsidR="00511C89">
        <w:rPr>
          <w:rFonts w:ascii="Verdana" w:eastAsia="Verdana" w:hAnsi="Verdana"/>
          <w:lang w:eastAsia="en-US"/>
        </w:rPr>
        <w:t>. Zamawiający oświadcza, że udostępnione przez Wykonawcę w ramach wstępnych konsultacji rynkowych oprogramowanie inżynierskie będzie wykorzystywane wyłącznie w celach testowych,</w:t>
      </w:r>
      <w:r w:rsidR="003A781B">
        <w:rPr>
          <w:rFonts w:ascii="Verdana" w:eastAsia="Verdana" w:hAnsi="Verdana"/>
          <w:lang w:eastAsia="en-US"/>
        </w:rPr>
        <w:br/>
      </w:r>
      <w:r w:rsidR="00511C89">
        <w:rPr>
          <w:rFonts w:ascii="Verdana" w:eastAsia="Verdana" w:hAnsi="Verdana"/>
          <w:lang w:eastAsia="en-US"/>
        </w:rPr>
        <w:t>w oparciu o dane testowe bez wykorzystania w komercyjnej działalności IŁ.</w:t>
      </w:r>
    </w:p>
    <w:p w14:paraId="05B32074" w14:textId="4F797694" w:rsidR="00F028C2" w:rsidRDefault="00F028C2" w:rsidP="0026151B">
      <w:pPr>
        <w:pStyle w:val="Nagwek2"/>
        <w:numPr>
          <w:ilvl w:val="2"/>
          <w:numId w:val="5"/>
        </w:numPr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6" w:name="_Toc158039116"/>
      <w:r w:rsidRPr="00F028C2">
        <w:rPr>
          <w:rFonts w:ascii="Verdana" w:eastAsia="Verdana" w:hAnsi="Verdana"/>
          <w:b/>
          <w:bCs/>
          <w:color w:val="auto"/>
          <w:lang w:eastAsia="en-US"/>
        </w:rPr>
        <w:t>Zakres merytoryczny</w:t>
      </w:r>
      <w:bookmarkEnd w:id="6"/>
    </w:p>
    <w:p w14:paraId="799BF9C4" w14:textId="77777777" w:rsidR="00511C89" w:rsidRDefault="00511C89" w:rsidP="0026151B">
      <w:pPr>
        <w:jc w:val="both"/>
        <w:rPr>
          <w:rFonts w:eastAsia="Verdana"/>
          <w:lang w:eastAsia="en-US"/>
        </w:rPr>
      </w:pPr>
    </w:p>
    <w:p w14:paraId="2CA16EA2" w14:textId="79E0D3E8" w:rsidR="00511C89" w:rsidRDefault="00511C89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511C89">
        <w:rPr>
          <w:rFonts w:ascii="Verdana" w:eastAsia="Verdana" w:hAnsi="Verdana"/>
          <w:lang w:eastAsia="en-US"/>
        </w:rPr>
        <w:t>Zamawiający oczekuje udostępnienia testowych licencji w następującym zakresie merytorycznym:</w:t>
      </w:r>
    </w:p>
    <w:p w14:paraId="09C395A4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projektowania i symulacji układów elektronicznych i obwodów drukowanych.</w:t>
      </w:r>
    </w:p>
    <w:p w14:paraId="2F507D2F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Bazy literaturowe, w tym wspólny w obszarze Łukasiewicza dostęp do płatnych serwisów danych inżynierskich, ekonomicznych i rynkowych.</w:t>
      </w:r>
    </w:p>
    <w:p w14:paraId="3DDF4E4A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projektowania i symulacji 3D wraz z:</w:t>
      </w:r>
    </w:p>
    <w:p w14:paraId="3ACB3B09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modelowanie 3D, Dokumentacja techniczna 2D, Konstrukcje spawane, Arkusz blachy,</w:t>
      </w:r>
    </w:p>
    <w:p w14:paraId="21A48D0E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harmonogram zadań,</w:t>
      </w:r>
    </w:p>
    <w:p w14:paraId="40C4222F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formy wtryskowe,</w:t>
      </w:r>
    </w:p>
    <w:p w14:paraId="3F604595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lastRenderedPageBreak/>
        <w:t>toolbox – biblioteka komponentów,</w:t>
      </w:r>
    </w:p>
    <w:p w14:paraId="6B5A3D2B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symulacje.</w:t>
      </w:r>
    </w:p>
    <w:p w14:paraId="7FE984DE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Modelowanie złożonych układów zawierających jednocześnie następujące elementy:</w:t>
      </w:r>
    </w:p>
    <w:p w14:paraId="3C9B285E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złożone reakcje chemiczne,</w:t>
      </w:r>
    </w:p>
    <w:p w14:paraId="27687165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procesy wymiany masy i ciepła,</w:t>
      </w:r>
    </w:p>
    <w:p w14:paraId="6CD301F6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przepływ wielofazowy,</w:t>
      </w:r>
    </w:p>
    <w:p w14:paraId="75FF2523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układy gaz-ciecz-ciało stałe,</w:t>
      </w:r>
    </w:p>
    <w:p w14:paraId="5840A9C6" w14:textId="77777777" w:rsidR="0026151B" w:rsidRPr="0026151B" w:rsidRDefault="0026151B" w:rsidP="0026151B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ogniwa elektrochemiczne.</w:t>
      </w:r>
    </w:p>
    <w:p w14:paraId="43BDE6B9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analiz numerycznych zjawisk elektromagnetycznych, bazujące na metodzie elementów skończonych (wspomaganie projektowania maszyn i urządzeń elektrycznych),</w:t>
      </w:r>
      <w:r w:rsidRPr="0026151B">
        <w:rPr>
          <w:rFonts w:ascii="Verdana" w:eastAsia="Verdana" w:hAnsi="Verdana"/>
          <w:lang w:eastAsia="en-US"/>
        </w:rPr>
        <w:br/>
        <w:t>z możliwością prowadzenia analiz wzajemnie powiązanych zjawisk elektromagnetycznych, mechanicznych, cieplnych.</w:t>
      </w:r>
    </w:p>
    <w:p w14:paraId="67492038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analizy przyrządów, zjawisk fizycznych i procesów.</w:t>
      </w:r>
    </w:p>
    <w:p w14:paraId="7B65FC73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symulacji procesów technologicznych i zjawisk na poziomie fizycznym.</w:t>
      </w:r>
    </w:p>
    <w:p w14:paraId="1292CE80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projektowania i modelowania PCB.</w:t>
      </w:r>
    </w:p>
    <w:p w14:paraId="2508CEC2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symulacji procesów obróbki CAM.</w:t>
      </w:r>
    </w:p>
    <w:p w14:paraId="5DF09C2D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oceny jakości wyborów.</w:t>
      </w:r>
    </w:p>
    <w:p w14:paraId="72A450EC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budowania modeli symulacyjnych oraz generowania kodu.</w:t>
      </w:r>
    </w:p>
    <w:p w14:paraId="24C16120" w14:textId="77777777" w:rsidR="0026151B" w:rsidRPr="0026151B" w:rsidRDefault="0026151B" w:rsidP="0026151B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analizy mechaniki płynów.</w:t>
      </w:r>
    </w:p>
    <w:p w14:paraId="29B7D7FA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wizualizacji i renderingu 3D.</w:t>
      </w:r>
    </w:p>
    <w:p w14:paraId="0CE55303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zarządzania projektem i monitorowaniem przebiegu zadań. </w:t>
      </w:r>
    </w:p>
    <w:p w14:paraId="54AE4E9D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analiz kinematycznych różnego rodzaju mechanizmów. </w:t>
      </w:r>
    </w:p>
    <w:p w14:paraId="3E0AC38A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analiz strukturalnych, termicznych, dynamicznych</w:t>
      </w:r>
      <w:r w:rsidRPr="0026151B">
        <w:rPr>
          <w:rFonts w:ascii="Verdana" w:eastAsia="Verdana" w:hAnsi="Verdana"/>
          <w:lang w:eastAsia="en-US"/>
        </w:rPr>
        <w:br/>
        <w:t>z zastosowaniem Metody Elementów Skończonych oraz umożliwiających symulację zmęczenia materiału,</w:t>
      </w:r>
    </w:p>
    <w:p w14:paraId="3DFC4B31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integrujące proces projektowy i symulacje inżynierskie.</w:t>
      </w:r>
    </w:p>
    <w:p w14:paraId="12DD6A46" w14:textId="0C5C3EF4" w:rsidR="0026151B" w:rsidRPr="0026151B" w:rsidRDefault="0026151B" w:rsidP="0026151B">
      <w:pPr>
        <w:pStyle w:val="contentpasted01"/>
        <w:numPr>
          <w:ilvl w:val="0"/>
          <w:numId w:val="9"/>
        </w:numPr>
        <w:spacing w:line="360" w:lineRule="auto"/>
        <w:jc w:val="both"/>
        <w:rPr>
          <w:rFonts w:ascii="Verdana" w:eastAsia="Verdana" w:hAnsi="Verdana" w:cs="Times New Roman"/>
          <w:sz w:val="20"/>
          <w:szCs w:val="20"/>
          <w:lang w:eastAsia="en-US"/>
        </w:rPr>
      </w:pPr>
      <w:r w:rsidRPr="0026151B">
        <w:rPr>
          <w:rFonts w:ascii="Verdana" w:eastAsia="Verdana" w:hAnsi="Verdana" w:cs="Times New Roman"/>
          <w:sz w:val="20"/>
          <w:szCs w:val="20"/>
          <w:lang w:eastAsia="en-US"/>
        </w:rPr>
        <w:t>Oprogramowanie do obliczeń matematycznych i inżynierskich oraz do modelowania</w:t>
      </w:r>
      <w:r>
        <w:rPr>
          <w:rFonts w:ascii="Verdana" w:eastAsia="Verdana" w:hAnsi="Verdana" w:cs="Times New Roman"/>
          <w:sz w:val="20"/>
          <w:szCs w:val="20"/>
          <w:lang w:eastAsia="en-US"/>
        </w:rPr>
        <w:br/>
      </w:r>
      <w:r w:rsidRPr="0026151B">
        <w:rPr>
          <w:rFonts w:ascii="Verdana" w:eastAsia="Verdana" w:hAnsi="Verdana" w:cs="Times New Roman"/>
          <w:sz w:val="20"/>
          <w:szCs w:val="20"/>
          <w:lang w:eastAsia="en-US"/>
        </w:rPr>
        <w:t>i analizy danych.</w:t>
      </w:r>
    </w:p>
    <w:p w14:paraId="5342C03E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analiz właściwości materiałowych stopów wieloskładnikowych.</w:t>
      </w:r>
    </w:p>
    <w:p w14:paraId="42D5E8EF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zastosowań inżynierii odwrotnej.</w:t>
      </w:r>
    </w:p>
    <w:p w14:paraId="2355ED92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obliczeń statystycznych. </w:t>
      </w:r>
    </w:p>
    <w:p w14:paraId="3287BE3A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zarządzania referencjami przy pisaniu publikacji.</w:t>
      </w:r>
    </w:p>
    <w:p w14:paraId="1C9975CA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projektowania graficznego.</w:t>
      </w:r>
    </w:p>
    <w:p w14:paraId="46487B22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wykonywania obliczeń termodynamicznych.</w:t>
      </w:r>
    </w:p>
    <w:p w14:paraId="65A89C65" w14:textId="77777777" w:rsidR="0026151B" w:rsidRPr="0026151B" w:rsidRDefault="0026151B" w:rsidP="002615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lastRenderedPageBreak/>
        <w:t>Oprogramowanie do cyfrowej analizy obrazu (mikrostruktury).</w:t>
      </w:r>
    </w:p>
    <w:p w14:paraId="1084AEC1" w14:textId="77777777" w:rsidR="0026151B" w:rsidRPr="0026151B" w:rsidRDefault="0026151B" w:rsidP="0026151B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projektowania i prototypowania UX/UI.</w:t>
      </w:r>
    </w:p>
    <w:p w14:paraId="4D30D058" w14:textId="77777777" w:rsidR="0026151B" w:rsidRPr="0026151B" w:rsidRDefault="0026151B" w:rsidP="0026151B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 xml:space="preserve">Oprogramowanie do analizy i projektowania oprogramowania. </w:t>
      </w:r>
    </w:p>
    <w:p w14:paraId="64B59C94" w14:textId="77777777" w:rsidR="0026151B" w:rsidRPr="0026151B" w:rsidRDefault="0026151B" w:rsidP="0026151B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zarządzania zgłoszeniami.</w:t>
      </w:r>
    </w:p>
    <w:p w14:paraId="2644C717" w14:textId="77777777" w:rsidR="0026151B" w:rsidRPr="0026151B" w:rsidRDefault="0026151B" w:rsidP="0026151B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symulacji kształtowania plastycznego metali.</w:t>
      </w:r>
    </w:p>
    <w:p w14:paraId="3796715B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DEM do analiz materiałów sypkich.</w:t>
      </w:r>
    </w:p>
    <w:p w14:paraId="21878C26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projektowania wiązek elektrycznych w pojazdach mobilnych.</w:t>
      </w:r>
    </w:p>
    <w:p w14:paraId="68184A58" w14:textId="461286FB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projektowania schematów elektrycznych</w:t>
      </w:r>
      <w:r w:rsidR="003A781B">
        <w:rPr>
          <w:rFonts w:ascii="Verdana" w:eastAsia="Verdana" w:hAnsi="Verdana"/>
          <w:lang w:eastAsia="en-US"/>
        </w:rPr>
        <w:br/>
      </w:r>
      <w:r w:rsidRPr="0026151B">
        <w:rPr>
          <w:rFonts w:ascii="Verdana" w:eastAsia="Verdana" w:hAnsi="Verdana"/>
          <w:lang w:eastAsia="en-US"/>
        </w:rPr>
        <w:t>w automatyce.</w:t>
      </w:r>
    </w:p>
    <w:p w14:paraId="06E9092F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dedykowane do projektowania schematów hydraulicznych.</w:t>
      </w:r>
    </w:p>
    <w:p w14:paraId="3512032D" w14:textId="77777777" w:rsidR="0026151B" w:rsidRPr="0026151B" w:rsidRDefault="0026151B" w:rsidP="0026151B">
      <w:pPr>
        <w:pStyle w:val="elementtoproof"/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Times New Roman"/>
          <w:sz w:val="20"/>
          <w:szCs w:val="20"/>
          <w:lang w:eastAsia="en-US"/>
        </w:rPr>
      </w:pPr>
      <w:r w:rsidRPr="0026151B">
        <w:rPr>
          <w:rFonts w:ascii="Verdana" w:eastAsia="Verdana" w:hAnsi="Verdana" w:cs="Times New Roman"/>
          <w:sz w:val="20"/>
          <w:szCs w:val="20"/>
          <w:lang w:eastAsia="en-US"/>
        </w:rPr>
        <w:t>Oprogramowanie dedykowane do programowania sterowników PLC.</w:t>
      </w:r>
    </w:p>
    <w:p w14:paraId="0F10AA8B" w14:textId="77777777" w:rsidR="0026151B" w:rsidRPr="0026151B" w:rsidRDefault="0026151B" w:rsidP="0026151B">
      <w:pPr>
        <w:pStyle w:val="elementtoproof"/>
        <w:numPr>
          <w:ilvl w:val="0"/>
          <w:numId w:val="10"/>
        </w:numPr>
        <w:spacing w:line="360" w:lineRule="auto"/>
        <w:jc w:val="both"/>
        <w:rPr>
          <w:rFonts w:ascii="Verdana" w:eastAsia="Verdana" w:hAnsi="Verdana" w:cs="Times New Roman"/>
          <w:sz w:val="20"/>
          <w:szCs w:val="20"/>
          <w:lang w:eastAsia="en-US"/>
        </w:rPr>
      </w:pPr>
      <w:r w:rsidRPr="0026151B">
        <w:rPr>
          <w:rFonts w:ascii="Verdana" w:eastAsia="Verdana" w:hAnsi="Verdana" w:cs="Times New Roman"/>
          <w:sz w:val="20"/>
          <w:szCs w:val="20"/>
          <w:lang w:eastAsia="en-US"/>
        </w:rPr>
        <w:t>Oprogramowanie do analizy ryzyka.</w:t>
      </w:r>
    </w:p>
    <w:p w14:paraId="0D6B5E22" w14:textId="77777777" w:rsidR="0026151B" w:rsidRPr="0026151B" w:rsidRDefault="0026151B" w:rsidP="0026151B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wspierające projektowanie i wizualizację magazynów.</w:t>
      </w:r>
    </w:p>
    <w:p w14:paraId="6B06E457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mapowania i symulowania procesów biznesowych.</w:t>
      </w:r>
    </w:p>
    <w:p w14:paraId="0272BAF8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symulacji i debugowania oprogramowania wbudowanego.</w:t>
      </w:r>
    </w:p>
    <w:p w14:paraId="067B7C29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 symulowanie elektronicznych obwodów analogowych.</w:t>
      </w:r>
    </w:p>
    <w:p w14:paraId="4A56EFFC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Oprogramowanie do tworzenia dokumentacji elektrycznej: tworzenie schematów elektrycznych, zestawienia połączeń, projektowanie okablowania w szafach elektrycznych.</w:t>
      </w:r>
    </w:p>
    <w:p w14:paraId="04418523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Zintegrowane środowisko programistyczne języka C/C++</w:t>
      </w:r>
    </w:p>
    <w:p w14:paraId="609D37CD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Narzędzia programistyczne typu RAD</w:t>
      </w:r>
    </w:p>
    <w:p w14:paraId="0A729422" w14:textId="77777777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Środowisko projektowania urządzeń elektronicznych.</w:t>
      </w:r>
    </w:p>
    <w:p w14:paraId="68A99BF7" w14:textId="76BEFB45" w:rsidR="0026151B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Symulacja, optymalizacja i wizualizacja modeli organizacyjnych z poziomu oprogramowania (tworzenie dokładnych modeli funkcjonowania logistyki wraz</w:t>
      </w:r>
      <w:r w:rsidR="00573ECD">
        <w:rPr>
          <w:rFonts w:ascii="Verdana" w:eastAsia="Verdana" w:hAnsi="Verdana"/>
          <w:lang w:eastAsia="en-US"/>
        </w:rPr>
        <w:br/>
      </w:r>
      <w:r w:rsidRPr="0026151B">
        <w:rPr>
          <w:rFonts w:ascii="Verdana" w:eastAsia="Verdana" w:hAnsi="Verdana"/>
          <w:lang w:eastAsia="en-US"/>
        </w:rPr>
        <w:t>z wizualizacją oraz możliwością dynamicznego definiowania parametrów wejściowych).</w:t>
      </w:r>
    </w:p>
    <w:p w14:paraId="35A92F69" w14:textId="65AA65AE" w:rsidR="00F028C2" w:rsidRPr="0026151B" w:rsidRDefault="0026151B" w:rsidP="0026151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Verdana" w:eastAsia="Verdana" w:hAnsi="Verdana"/>
          <w:lang w:eastAsia="en-US"/>
        </w:rPr>
      </w:pPr>
      <w:r w:rsidRPr="0026151B">
        <w:rPr>
          <w:rFonts w:ascii="Verdana" w:eastAsia="Verdana" w:hAnsi="Verdana"/>
          <w:lang w:eastAsia="en-US"/>
        </w:rPr>
        <w:t>Wsparcie projektowania, symulacje i wizualizacje złożonych koncepcji logistycznych,</w:t>
      </w:r>
      <w:r w:rsidR="00573ECD">
        <w:rPr>
          <w:rFonts w:ascii="Verdana" w:eastAsia="Verdana" w:hAnsi="Verdana"/>
          <w:lang w:eastAsia="en-US"/>
        </w:rPr>
        <w:br/>
      </w:r>
      <w:r w:rsidRPr="0026151B">
        <w:rPr>
          <w:rFonts w:ascii="Verdana" w:eastAsia="Verdana" w:hAnsi="Verdana"/>
          <w:lang w:eastAsia="en-US"/>
        </w:rPr>
        <w:t>w zakresie sieci dystrybucji, transportu wewnętrznego i magazynowania (opcjonalnie także organizacji produkcji) – wizualizacje/symulacje W2MO.</w:t>
      </w:r>
    </w:p>
    <w:p w14:paraId="3640E537" w14:textId="464074D7" w:rsidR="0016718C" w:rsidRDefault="0016718C" w:rsidP="0026151B">
      <w:pPr>
        <w:pStyle w:val="Nagwek2"/>
        <w:numPr>
          <w:ilvl w:val="1"/>
          <w:numId w:val="5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7" w:name="_Toc158039117"/>
      <w:r w:rsidRPr="00F028C2">
        <w:rPr>
          <w:rFonts w:ascii="Verdana" w:eastAsia="Verdana" w:hAnsi="Verdana"/>
          <w:b/>
          <w:bCs/>
          <w:color w:val="auto"/>
          <w:lang w:eastAsia="en-US"/>
        </w:rPr>
        <w:t xml:space="preserve">Harmonogram realizacji </w:t>
      </w:r>
      <w:r w:rsidR="00917678">
        <w:rPr>
          <w:rFonts w:ascii="Verdana" w:eastAsia="Verdana" w:hAnsi="Verdana"/>
          <w:b/>
          <w:bCs/>
          <w:color w:val="auto"/>
          <w:lang w:eastAsia="en-US"/>
        </w:rPr>
        <w:t>wstępnych konsultacji</w:t>
      </w:r>
      <w:r w:rsidR="000F4719">
        <w:rPr>
          <w:rFonts w:ascii="Verdana" w:eastAsia="Verdana" w:hAnsi="Verdana"/>
          <w:b/>
          <w:bCs/>
          <w:color w:val="auto"/>
          <w:lang w:eastAsia="en-US"/>
        </w:rPr>
        <w:t xml:space="preserve"> rynkowych</w:t>
      </w:r>
      <w:bookmarkEnd w:id="7"/>
    </w:p>
    <w:p w14:paraId="3FE8A748" w14:textId="3AFEA60E" w:rsidR="00511C89" w:rsidRPr="000B7716" w:rsidRDefault="00511C89" w:rsidP="0026151B">
      <w:pPr>
        <w:jc w:val="both"/>
        <w:rPr>
          <w:rFonts w:ascii="Verdana" w:eastAsia="Verdana" w:hAnsi="Verdana"/>
          <w:lang w:eastAsia="en-US"/>
        </w:rPr>
      </w:pPr>
      <w:r w:rsidRPr="000B7716">
        <w:rPr>
          <w:rFonts w:ascii="Verdana" w:eastAsia="Verdana" w:hAnsi="Verdana"/>
          <w:lang w:eastAsia="en-US"/>
        </w:rPr>
        <w:t>Zamawiający planuje realizację wstępnych konsultacji rynkowych według następującego harmonogramu:</w:t>
      </w:r>
    </w:p>
    <w:tbl>
      <w:tblPr>
        <w:tblStyle w:val="Tabelalisty3"/>
        <w:tblW w:w="0" w:type="auto"/>
        <w:tblLook w:val="04A0" w:firstRow="1" w:lastRow="0" w:firstColumn="1" w:lastColumn="0" w:noHBand="0" w:noVBand="1"/>
      </w:tblPr>
      <w:tblGrid>
        <w:gridCol w:w="6232"/>
        <w:gridCol w:w="2694"/>
      </w:tblGrid>
      <w:tr w:rsidR="008A249D" w:rsidRPr="000B7716" w14:paraId="6BA01D83" w14:textId="77777777" w:rsidTr="008A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2" w:type="dxa"/>
          </w:tcPr>
          <w:p w14:paraId="78BDCA6C" w14:textId="247ACC4B" w:rsidR="008A249D" w:rsidRPr="000B7716" w:rsidRDefault="008A249D" w:rsidP="0026151B">
            <w:pPr>
              <w:jc w:val="both"/>
              <w:rPr>
                <w:rFonts w:ascii="Verdana" w:eastAsia="Verdana" w:hAnsi="Verdana"/>
                <w:sz w:val="16"/>
                <w:szCs w:val="16"/>
                <w:lang w:eastAsia="en-US"/>
              </w:rPr>
            </w:pPr>
            <w:r w:rsidRPr="000B7716">
              <w:rPr>
                <w:rFonts w:ascii="Verdana" w:eastAsia="Verdana" w:hAnsi="Verdana"/>
                <w:sz w:val="16"/>
                <w:szCs w:val="16"/>
                <w:lang w:eastAsia="en-US"/>
              </w:rPr>
              <w:t>Etap</w:t>
            </w:r>
          </w:p>
        </w:tc>
        <w:tc>
          <w:tcPr>
            <w:tcW w:w="2694" w:type="dxa"/>
          </w:tcPr>
          <w:p w14:paraId="240B9303" w14:textId="453E989B" w:rsidR="008A249D" w:rsidRPr="000B7716" w:rsidRDefault="008A249D" w:rsidP="0026151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16"/>
                <w:szCs w:val="16"/>
                <w:lang w:eastAsia="en-US"/>
              </w:rPr>
            </w:pPr>
            <w:r w:rsidRPr="000B7716">
              <w:rPr>
                <w:rFonts w:ascii="Verdana" w:eastAsia="Verdana" w:hAnsi="Verdana"/>
                <w:sz w:val="16"/>
                <w:szCs w:val="16"/>
                <w:lang w:eastAsia="en-US"/>
              </w:rPr>
              <w:t>Data</w:t>
            </w:r>
          </w:p>
        </w:tc>
      </w:tr>
      <w:tr w:rsidR="008A249D" w:rsidRPr="000B7716" w14:paraId="73E4E997" w14:textId="77777777" w:rsidTr="008A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8992731" w14:textId="405A56EB" w:rsidR="008A249D" w:rsidRPr="000B7716" w:rsidRDefault="008A249D" w:rsidP="0026151B">
            <w:pPr>
              <w:spacing w:line="360" w:lineRule="auto"/>
              <w:jc w:val="both"/>
              <w:rPr>
                <w:rFonts w:ascii="Verdana" w:eastAsia="Verdana" w:hAnsi="Verdana"/>
                <w:b w:val="0"/>
                <w:bCs w:val="0"/>
                <w:sz w:val="16"/>
                <w:szCs w:val="16"/>
                <w:lang w:eastAsia="en-US"/>
              </w:rPr>
            </w:pPr>
            <w:r w:rsidRPr="000B7716">
              <w:rPr>
                <w:rFonts w:ascii="Verdana" w:eastAsia="Verdana" w:hAnsi="Verdana"/>
                <w:b w:val="0"/>
                <w:bCs w:val="0"/>
                <w:sz w:val="16"/>
                <w:szCs w:val="16"/>
                <w:lang w:eastAsia="en-US"/>
              </w:rPr>
              <w:t>Organizacja wstępnych konsultacji rynkowych</w:t>
            </w:r>
          </w:p>
        </w:tc>
        <w:tc>
          <w:tcPr>
            <w:tcW w:w="2694" w:type="dxa"/>
          </w:tcPr>
          <w:p w14:paraId="268185B4" w14:textId="54B96940" w:rsidR="008A249D" w:rsidRPr="000B7716" w:rsidRDefault="008A249D" w:rsidP="002615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/>
                <w:sz w:val="16"/>
                <w:szCs w:val="16"/>
                <w:lang w:eastAsia="en-US"/>
              </w:rPr>
            </w:pPr>
            <w:r>
              <w:rPr>
                <w:rFonts w:ascii="Verdana" w:eastAsia="Verdana" w:hAnsi="Verdana"/>
                <w:sz w:val="16"/>
                <w:szCs w:val="16"/>
                <w:lang w:eastAsia="en-US"/>
              </w:rPr>
              <w:t>0</w:t>
            </w:r>
            <w:r w:rsidR="00402D1A">
              <w:rPr>
                <w:rFonts w:ascii="Verdana" w:eastAsia="Verdana" w:hAnsi="Verdana"/>
                <w:sz w:val="16"/>
                <w:szCs w:val="16"/>
                <w:lang w:eastAsia="en-US"/>
              </w:rPr>
              <w:t>9</w:t>
            </w:r>
            <w:r>
              <w:rPr>
                <w:rFonts w:ascii="Verdana" w:eastAsia="Verdana" w:hAnsi="Verdana"/>
                <w:sz w:val="16"/>
                <w:szCs w:val="16"/>
                <w:lang w:eastAsia="en-US"/>
              </w:rPr>
              <w:t>-1</w:t>
            </w:r>
            <w:r w:rsidR="000A529C">
              <w:rPr>
                <w:rFonts w:ascii="Verdana" w:eastAsia="Verdana" w:hAnsi="Verdana"/>
                <w:sz w:val="16"/>
                <w:szCs w:val="16"/>
                <w:lang w:eastAsia="en-US"/>
              </w:rPr>
              <w:t>9</w:t>
            </w:r>
            <w:r>
              <w:rPr>
                <w:rFonts w:ascii="Verdana" w:eastAsia="Verdana" w:hAnsi="Verdana"/>
                <w:sz w:val="16"/>
                <w:szCs w:val="16"/>
                <w:lang w:eastAsia="en-US"/>
              </w:rPr>
              <w:t>.02.2024</w:t>
            </w:r>
          </w:p>
        </w:tc>
      </w:tr>
      <w:tr w:rsidR="008A249D" w:rsidRPr="000B7716" w14:paraId="0A0655B4" w14:textId="77777777" w:rsidTr="008A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FE243D0" w14:textId="49D4ABBA" w:rsidR="008A249D" w:rsidRPr="000B7716" w:rsidRDefault="008A249D" w:rsidP="0026151B">
            <w:pPr>
              <w:spacing w:line="360" w:lineRule="auto"/>
              <w:jc w:val="both"/>
              <w:rPr>
                <w:rFonts w:ascii="Verdana" w:eastAsia="Verdana" w:hAnsi="Verdana"/>
                <w:b w:val="0"/>
                <w:bCs w:val="0"/>
                <w:sz w:val="16"/>
                <w:szCs w:val="16"/>
                <w:lang w:eastAsia="en-US"/>
              </w:rPr>
            </w:pPr>
            <w:r w:rsidRPr="000B7716">
              <w:rPr>
                <w:rFonts w:ascii="Verdana" w:eastAsia="Verdana" w:hAnsi="Verdana"/>
                <w:b w:val="0"/>
                <w:bCs w:val="0"/>
                <w:sz w:val="16"/>
                <w:szCs w:val="16"/>
                <w:lang w:eastAsia="en-US"/>
              </w:rPr>
              <w:t>Rozpoczęcie wstępnych konsultacji rynkowych</w:t>
            </w:r>
          </w:p>
        </w:tc>
        <w:tc>
          <w:tcPr>
            <w:tcW w:w="2694" w:type="dxa"/>
          </w:tcPr>
          <w:p w14:paraId="16504314" w14:textId="65CBBE1D" w:rsidR="008A249D" w:rsidRPr="000B7716" w:rsidRDefault="000A529C" w:rsidP="0026151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/>
                <w:sz w:val="16"/>
                <w:szCs w:val="16"/>
                <w:lang w:eastAsia="en-US"/>
              </w:rPr>
            </w:pPr>
            <w:r>
              <w:rPr>
                <w:rFonts w:ascii="Verdana" w:eastAsia="Verdana" w:hAnsi="Verdana"/>
                <w:sz w:val="16"/>
                <w:szCs w:val="16"/>
                <w:lang w:eastAsia="en-US"/>
              </w:rPr>
              <w:t>20</w:t>
            </w:r>
            <w:r w:rsidR="008A249D">
              <w:rPr>
                <w:rFonts w:ascii="Verdana" w:eastAsia="Verdana" w:hAnsi="Verdana"/>
                <w:sz w:val="16"/>
                <w:szCs w:val="16"/>
                <w:lang w:eastAsia="en-US"/>
              </w:rPr>
              <w:t xml:space="preserve">.02.2024 – </w:t>
            </w:r>
            <w:r w:rsidR="00402D1A">
              <w:rPr>
                <w:rFonts w:ascii="Verdana" w:eastAsia="Verdana" w:hAnsi="Verdana"/>
                <w:sz w:val="16"/>
                <w:szCs w:val="16"/>
                <w:lang w:eastAsia="en-US"/>
              </w:rPr>
              <w:t>15</w:t>
            </w:r>
            <w:r w:rsidR="008A249D">
              <w:rPr>
                <w:rFonts w:ascii="Verdana" w:eastAsia="Verdana" w:hAnsi="Verdana"/>
                <w:sz w:val="16"/>
                <w:szCs w:val="16"/>
                <w:lang w:eastAsia="en-US"/>
              </w:rPr>
              <w:t>.0</w:t>
            </w:r>
            <w:r w:rsidR="00402D1A">
              <w:rPr>
                <w:rFonts w:ascii="Verdana" w:eastAsia="Verdana" w:hAnsi="Verdana"/>
                <w:sz w:val="16"/>
                <w:szCs w:val="16"/>
                <w:lang w:eastAsia="en-US"/>
              </w:rPr>
              <w:t>5</w:t>
            </w:r>
            <w:r w:rsidR="008A249D">
              <w:rPr>
                <w:rFonts w:ascii="Verdana" w:eastAsia="Verdana" w:hAnsi="Verdana"/>
                <w:sz w:val="16"/>
                <w:szCs w:val="16"/>
                <w:lang w:eastAsia="en-US"/>
              </w:rPr>
              <w:t>.2024</w:t>
            </w:r>
          </w:p>
        </w:tc>
      </w:tr>
      <w:tr w:rsidR="008A249D" w:rsidRPr="000B7716" w14:paraId="38DD0A19" w14:textId="77777777" w:rsidTr="008A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0129D14" w14:textId="496B9671" w:rsidR="008A249D" w:rsidRPr="000B7716" w:rsidRDefault="008A249D" w:rsidP="0026151B">
            <w:pPr>
              <w:spacing w:line="360" w:lineRule="auto"/>
              <w:jc w:val="both"/>
              <w:rPr>
                <w:rFonts w:ascii="Verdana" w:eastAsia="Verdana" w:hAnsi="Verdana"/>
                <w:b w:val="0"/>
                <w:bCs w:val="0"/>
                <w:sz w:val="16"/>
                <w:szCs w:val="16"/>
                <w:lang w:eastAsia="en-US"/>
              </w:rPr>
            </w:pPr>
            <w:r w:rsidRPr="000B7716">
              <w:rPr>
                <w:rFonts w:ascii="Verdana" w:eastAsia="Verdana" w:hAnsi="Verdana"/>
                <w:b w:val="0"/>
                <w:bCs w:val="0"/>
                <w:sz w:val="16"/>
                <w:szCs w:val="16"/>
                <w:lang w:eastAsia="en-US"/>
              </w:rPr>
              <w:t>Podsumowanie wstępnych konsultacji rynkowych</w:t>
            </w:r>
          </w:p>
        </w:tc>
        <w:tc>
          <w:tcPr>
            <w:tcW w:w="2694" w:type="dxa"/>
          </w:tcPr>
          <w:p w14:paraId="5520D511" w14:textId="0CCCC3C7" w:rsidR="008A249D" w:rsidRPr="000B7716" w:rsidRDefault="008A249D" w:rsidP="0026151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/>
                <w:sz w:val="16"/>
                <w:szCs w:val="16"/>
                <w:lang w:eastAsia="en-US"/>
              </w:rPr>
            </w:pPr>
            <w:r>
              <w:rPr>
                <w:rFonts w:ascii="Verdana" w:eastAsia="Verdana" w:hAnsi="Verdana"/>
                <w:sz w:val="16"/>
                <w:szCs w:val="16"/>
                <w:lang w:eastAsia="en-US"/>
              </w:rPr>
              <w:t xml:space="preserve">Do 15.07.2024 </w:t>
            </w:r>
          </w:p>
        </w:tc>
      </w:tr>
    </w:tbl>
    <w:p w14:paraId="5511735C" w14:textId="59A90560" w:rsidR="000B7716" w:rsidRPr="005C2946" w:rsidRDefault="005C2946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5C2946">
        <w:rPr>
          <w:rFonts w:ascii="Verdana" w:eastAsia="Verdana" w:hAnsi="Verdana"/>
          <w:lang w:eastAsia="en-US"/>
        </w:rPr>
        <w:lastRenderedPageBreak/>
        <w:t xml:space="preserve">Podczas realizacji </w:t>
      </w:r>
      <w:r w:rsidR="00F15E9E">
        <w:rPr>
          <w:rFonts w:ascii="Verdana" w:eastAsia="Verdana" w:hAnsi="Verdana"/>
          <w:lang w:eastAsia="en-US"/>
        </w:rPr>
        <w:t>wstępnych konsultacji rynkowych</w:t>
      </w:r>
      <w:r w:rsidRPr="005C2946">
        <w:rPr>
          <w:rFonts w:ascii="Verdana" w:eastAsia="Verdana" w:hAnsi="Verdana"/>
          <w:lang w:eastAsia="en-US"/>
        </w:rPr>
        <w:t xml:space="preserve"> Zamawiający oczekuje, że Wykonawca będzie świadczył usługi stosownie do bieżących potrzeb wynikających z testowania oprogramowania.</w:t>
      </w:r>
    </w:p>
    <w:p w14:paraId="51E94E36" w14:textId="77777777" w:rsidR="00511C89" w:rsidRPr="00511C89" w:rsidRDefault="00511C89" w:rsidP="0026151B">
      <w:pPr>
        <w:jc w:val="both"/>
        <w:rPr>
          <w:rFonts w:eastAsia="Verdana"/>
          <w:lang w:eastAsia="en-US"/>
        </w:rPr>
      </w:pPr>
    </w:p>
    <w:p w14:paraId="7634F15E" w14:textId="38E4F7A1" w:rsidR="0016718C" w:rsidRDefault="0016718C" w:rsidP="0026151B">
      <w:pPr>
        <w:pStyle w:val="Nagwek2"/>
        <w:numPr>
          <w:ilvl w:val="1"/>
          <w:numId w:val="5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8" w:name="_Toc158039118"/>
      <w:r w:rsidRPr="00F028C2">
        <w:rPr>
          <w:rFonts w:ascii="Verdana" w:eastAsia="Verdana" w:hAnsi="Verdana"/>
          <w:b/>
          <w:bCs/>
          <w:color w:val="auto"/>
          <w:lang w:eastAsia="en-US"/>
        </w:rPr>
        <w:t>Zespół projektowy</w:t>
      </w:r>
      <w:bookmarkEnd w:id="8"/>
    </w:p>
    <w:p w14:paraId="65E4230A" w14:textId="7C211EDB" w:rsidR="008A249D" w:rsidRDefault="00511C89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0B7716">
        <w:rPr>
          <w:rFonts w:ascii="Verdana" w:eastAsia="Verdana" w:hAnsi="Verdana"/>
          <w:lang w:eastAsia="en-US"/>
        </w:rPr>
        <w:t>Zespołem projektowym po stronie Zamawiającego kieruje Kierownik projektu</w:t>
      </w:r>
      <w:r w:rsidR="008A249D">
        <w:rPr>
          <w:rFonts w:ascii="Verdana" w:eastAsia="Verdana" w:hAnsi="Verdana"/>
          <w:lang w:eastAsia="en-US"/>
        </w:rPr>
        <w:t xml:space="preserve">. </w:t>
      </w:r>
      <w:r w:rsidRPr="000B7716">
        <w:rPr>
          <w:rFonts w:ascii="Verdana" w:eastAsia="Verdana" w:hAnsi="Verdana"/>
          <w:lang w:eastAsia="en-US"/>
        </w:rPr>
        <w:t>Jest on odpowiedzialny za kontakt z Wykonawcami po stronie Zamawiającego.</w:t>
      </w:r>
      <w:r w:rsidR="005C2946">
        <w:rPr>
          <w:rFonts w:ascii="Verdana" w:eastAsia="Verdana" w:hAnsi="Verdana"/>
          <w:lang w:eastAsia="en-US"/>
        </w:rPr>
        <w:t xml:space="preserve"> Zespół projektowy składa się z pracowników Łukasiewicza biorących udział we wstępnych konsultacjach rynkowych. Zadaniem Zespołu projektowego jest ułatwienie IŁ udziału w wyżej wymienionych konsultacjach.</w:t>
      </w:r>
    </w:p>
    <w:p w14:paraId="110A3C0A" w14:textId="77777777" w:rsidR="008A249D" w:rsidRPr="000B7716" w:rsidRDefault="008A249D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</w:p>
    <w:p w14:paraId="70F96963" w14:textId="60693298" w:rsidR="0016718C" w:rsidRDefault="0016718C" w:rsidP="0026151B">
      <w:pPr>
        <w:pStyle w:val="Nagwek2"/>
        <w:numPr>
          <w:ilvl w:val="1"/>
          <w:numId w:val="5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9" w:name="_Toc158039119"/>
      <w:r w:rsidRPr="00F028C2">
        <w:rPr>
          <w:rFonts w:ascii="Verdana" w:eastAsia="Verdana" w:hAnsi="Verdana"/>
          <w:b/>
          <w:bCs/>
          <w:color w:val="auto"/>
          <w:lang w:eastAsia="en-US"/>
        </w:rPr>
        <w:t>Miejsce realizacji i narzędzia teleinformatyczne</w:t>
      </w:r>
      <w:bookmarkEnd w:id="9"/>
    </w:p>
    <w:p w14:paraId="313EBFFE" w14:textId="30D6C309" w:rsidR="005C2946" w:rsidRDefault="005C2946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5C2946">
        <w:rPr>
          <w:rFonts w:ascii="Verdana" w:eastAsia="Verdana" w:hAnsi="Verdana"/>
          <w:lang w:eastAsia="en-US"/>
        </w:rPr>
        <w:t>Zamawiający oczekuje, że realizacja wstępnych konsultacji rynkowych odbywać się będzie za pośrednictwem narzędzi komunikacji elektronicznej oraz w uzasadnionych przypadkach usługa może być też częściowo realizowana w siedzibie poszczególnych IŁ.</w:t>
      </w:r>
    </w:p>
    <w:p w14:paraId="12A15ECA" w14:textId="77777777" w:rsidR="005C2946" w:rsidRPr="005C2946" w:rsidRDefault="005C2946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</w:p>
    <w:p w14:paraId="238AB7BA" w14:textId="23D13C83" w:rsidR="00B84955" w:rsidRDefault="005C2946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  <w:r w:rsidRPr="005C2946">
        <w:rPr>
          <w:rFonts w:ascii="Verdana" w:eastAsia="Verdana" w:hAnsi="Verdana"/>
          <w:lang w:eastAsia="en-US"/>
        </w:rPr>
        <w:t>Wykonawca musi korzystać z narzędzi komunikacji elektronicznej oraz narzędzi do pracy grupowej udostępnionych przez Łukasiewicz</w:t>
      </w:r>
      <w:r w:rsidR="008A249D">
        <w:rPr>
          <w:rFonts w:ascii="Verdana" w:eastAsia="Verdana" w:hAnsi="Verdana"/>
          <w:lang w:eastAsia="en-US"/>
        </w:rPr>
        <w:t>a</w:t>
      </w:r>
      <w:r w:rsidRPr="005C2946">
        <w:rPr>
          <w:rFonts w:ascii="Verdana" w:eastAsia="Verdana" w:hAnsi="Verdana"/>
          <w:lang w:eastAsia="en-US"/>
        </w:rPr>
        <w:t xml:space="preserve"> z zachowaniem wymogów dotyczących bezpieczeństwa teleinformatycznego przyjętych w Łukasiewicz</w:t>
      </w:r>
      <w:r w:rsidR="008A249D">
        <w:rPr>
          <w:rFonts w:ascii="Verdana" w:eastAsia="Verdana" w:hAnsi="Verdana"/>
          <w:lang w:eastAsia="en-US"/>
        </w:rPr>
        <w:t>u</w:t>
      </w:r>
      <w:r w:rsidRPr="005C2946">
        <w:rPr>
          <w:rFonts w:ascii="Verdana" w:eastAsia="Verdana" w:hAnsi="Verdana"/>
          <w:lang w:eastAsia="en-US"/>
        </w:rPr>
        <w:t>. Wszelkie inne narzędzia teleinformatyczne wykorzystywane przez Wykonawcę do realizacji przedmiotu Zapytania muszą zapewniać wysoki poziom bezpieczeństwa oraz mieć zapewnione wsparcie producenta w celu minimalizacji ryzyka utraty jakichkolwiek danych przetwarzanych</w:t>
      </w:r>
      <w:r w:rsidR="003A781B">
        <w:rPr>
          <w:rFonts w:ascii="Verdana" w:eastAsia="Verdana" w:hAnsi="Verdana"/>
          <w:lang w:eastAsia="en-US"/>
        </w:rPr>
        <w:br/>
      </w:r>
      <w:r w:rsidRPr="005C2946">
        <w:rPr>
          <w:rFonts w:ascii="Verdana" w:eastAsia="Verdana" w:hAnsi="Verdana"/>
          <w:lang w:eastAsia="en-US"/>
        </w:rPr>
        <w:t>w ramach projektu.</w:t>
      </w:r>
    </w:p>
    <w:p w14:paraId="39C552B2" w14:textId="77777777" w:rsidR="008A249D" w:rsidRPr="0026151B" w:rsidRDefault="008A249D" w:rsidP="0026151B">
      <w:pPr>
        <w:spacing w:line="360" w:lineRule="auto"/>
        <w:jc w:val="both"/>
        <w:rPr>
          <w:rFonts w:ascii="Verdana" w:eastAsia="Verdana" w:hAnsi="Verdana"/>
          <w:lang w:eastAsia="en-US"/>
        </w:rPr>
      </w:pPr>
    </w:p>
    <w:p w14:paraId="1D2E7A0E" w14:textId="4742464E" w:rsidR="00205784" w:rsidRPr="00F372DB" w:rsidRDefault="00B84955" w:rsidP="0026151B">
      <w:pPr>
        <w:pStyle w:val="Nagwek1"/>
        <w:numPr>
          <w:ilvl w:val="0"/>
          <w:numId w:val="2"/>
        </w:numPr>
        <w:spacing w:line="360" w:lineRule="auto"/>
        <w:jc w:val="both"/>
        <w:rPr>
          <w:rFonts w:ascii="Verdana" w:eastAsia="Verdana" w:hAnsi="Verdana"/>
          <w:b/>
          <w:bCs/>
          <w:color w:val="auto"/>
          <w:lang w:eastAsia="en-US"/>
        </w:rPr>
      </w:pPr>
      <w:bookmarkStart w:id="10" w:name="_Toc158039120"/>
      <w:r w:rsidRPr="00F372DB">
        <w:rPr>
          <w:rFonts w:ascii="Verdana" w:eastAsia="Verdana" w:hAnsi="Verdana"/>
          <w:b/>
          <w:bCs/>
          <w:color w:val="auto"/>
          <w:lang w:eastAsia="en-US"/>
        </w:rPr>
        <w:t>Informacje dodatkowe</w:t>
      </w:r>
      <w:bookmarkEnd w:id="10"/>
    </w:p>
    <w:p w14:paraId="486C0B42" w14:textId="77777777" w:rsidR="00B84955" w:rsidRPr="00F372DB" w:rsidRDefault="00B84955" w:rsidP="0026151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Verdana" w:eastAsia="Verdana" w:hAnsi="Verdana" w:cs="Tahoma"/>
          <w:color w:val="000000"/>
          <w:spacing w:val="4"/>
          <w:sz w:val="18"/>
          <w:szCs w:val="18"/>
          <w:lang w:eastAsia="en-US"/>
        </w:rPr>
      </w:pPr>
    </w:p>
    <w:p w14:paraId="3BD2F5BC" w14:textId="24E10D2F" w:rsidR="00290F1E" w:rsidRPr="00F372DB" w:rsidRDefault="005C2946" w:rsidP="0026151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Zamawiający zastrzega sobie prawo rezygnacji z uruchomienia globalnego przetargu na oprogramowanie inżynierskie</w:t>
      </w:r>
      <w:r w:rsidR="00DA0E55">
        <w:rPr>
          <w:rFonts w:ascii="Verdana" w:hAnsi="Verdana"/>
        </w:rPr>
        <w:t xml:space="preserve"> w przypadku gdy w wyniku wstępnych konsultacji rynkowych nie znajdzie przesłanek do uruchomienia wspólnego zakupu dla IŁ.</w:t>
      </w:r>
    </w:p>
    <w:sectPr w:rsidR="00290F1E" w:rsidRPr="00F3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E8B"/>
    <w:multiLevelType w:val="hybridMultilevel"/>
    <w:tmpl w:val="2BE67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F7F11"/>
    <w:multiLevelType w:val="hybridMultilevel"/>
    <w:tmpl w:val="05862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12044C"/>
    <w:multiLevelType w:val="multilevel"/>
    <w:tmpl w:val="E05E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4F2D10"/>
    <w:multiLevelType w:val="hybridMultilevel"/>
    <w:tmpl w:val="6986BB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C2A1B"/>
    <w:multiLevelType w:val="hybridMultilevel"/>
    <w:tmpl w:val="C98A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A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75A00"/>
    <w:multiLevelType w:val="hybridMultilevel"/>
    <w:tmpl w:val="F00A6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4134"/>
    <w:multiLevelType w:val="hybridMultilevel"/>
    <w:tmpl w:val="FF4468F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E313F1"/>
    <w:multiLevelType w:val="hybridMultilevel"/>
    <w:tmpl w:val="1158D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95876"/>
    <w:multiLevelType w:val="hybridMultilevel"/>
    <w:tmpl w:val="BD94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5577">
    <w:abstractNumId w:val="1"/>
  </w:num>
  <w:num w:numId="2" w16cid:durableId="197012614">
    <w:abstractNumId w:val="4"/>
  </w:num>
  <w:num w:numId="3" w16cid:durableId="810708199">
    <w:abstractNumId w:val="7"/>
  </w:num>
  <w:num w:numId="4" w16cid:durableId="1989284151">
    <w:abstractNumId w:val="3"/>
  </w:num>
  <w:num w:numId="5" w16cid:durableId="479620547">
    <w:abstractNumId w:val="2"/>
  </w:num>
  <w:num w:numId="6" w16cid:durableId="1202280212">
    <w:abstractNumId w:val="6"/>
  </w:num>
  <w:num w:numId="7" w16cid:durableId="1672441594">
    <w:abstractNumId w:val="5"/>
  </w:num>
  <w:num w:numId="8" w16cid:durableId="839154348">
    <w:abstractNumId w:val="9"/>
  </w:num>
  <w:num w:numId="9" w16cid:durableId="240412175">
    <w:abstractNumId w:val="0"/>
  </w:num>
  <w:num w:numId="10" w16cid:durableId="917176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E"/>
    <w:rsid w:val="000573E2"/>
    <w:rsid w:val="000A529C"/>
    <w:rsid w:val="000B7716"/>
    <w:rsid w:val="000C0B0D"/>
    <w:rsid w:val="000F4719"/>
    <w:rsid w:val="000F6BF7"/>
    <w:rsid w:val="0016718C"/>
    <w:rsid w:val="00205784"/>
    <w:rsid w:val="00216914"/>
    <w:rsid w:val="0026151B"/>
    <w:rsid w:val="00290F1E"/>
    <w:rsid w:val="003A781B"/>
    <w:rsid w:val="00402D1A"/>
    <w:rsid w:val="00511C89"/>
    <w:rsid w:val="00573ECD"/>
    <w:rsid w:val="005C2946"/>
    <w:rsid w:val="007138F8"/>
    <w:rsid w:val="008A249D"/>
    <w:rsid w:val="00917678"/>
    <w:rsid w:val="00A92E9D"/>
    <w:rsid w:val="00B1738F"/>
    <w:rsid w:val="00B84955"/>
    <w:rsid w:val="00B90C63"/>
    <w:rsid w:val="00C46F78"/>
    <w:rsid w:val="00CC0A6C"/>
    <w:rsid w:val="00D30848"/>
    <w:rsid w:val="00DA0E55"/>
    <w:rsid w:val="00DA0E72"/>
    <w:rsid w:val="00E21054"/>
    <w:rsid w:val="00F028C2"/>
    <w:rsid w:val="00F15E9E"/>
    <w:rsid w:val="00F3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3E44"/>
  <w15:chartTrackingRefBased/>
  <w15:docId w15:val="{45C58FA5-3463-441F-9170-A91A8CD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849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578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0578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0578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71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372DB"/>
    <w:pPr>
      <w:spacing w:after="100"/>
      <w:ind w:left="200"/>
    </w:pPr>
  </w:style>
  <w:style w:type="table" w:styleId="Tabela-Siatka">
    <w:name w:val="Table Grid"/>
    <w:basedOn w:val="Standardowy"/>
    <w:uiPriority w:val="39"/>
    <w:rsid w:val="000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B77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">
    <w:name w:val="List Table 3"/>
    <w:basedOn w:val="Standardowy"/>
    <w:uiPriority w:val="48"/>
    <w:rsid w:val="000B77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contentpasted01">
    <w:name w:val="contentpasted01"/>
    <w:basedOn w:val="Normalny"/>
    <w:rsid w:val="002615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ny"/>
    <w:rsid w:val="0026151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49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4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4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286C-0DD6-4122-AEEA-3FC288D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Gawdzik | Centrum Łukasiewicz</dc:creator>
  <cp:keywords/>
  <dc:description/>
  <cp:lastModifiedBy>Anna Dorna | Łukasiewicz – PIT</cp:lastModifiedBy>
  <cp:revision>4</cp:revision>
  <dcterms:created xsi:type="dcterms:W3CDTF">2024-02-06T11:44:00Z</dcterms:created>
  <dcterms:modified xsi:type="dcterms:W3CDTF">2024-02-12T12:20:00Z</dcterms:modified>
</cp:coreProperties>
</file>