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E4" w:rsidRPr="006607E4" w:rsidRDefault="006607E4" w:rsidP="006607E4">
      <w:pPr>
        <w:tabs>
          <w:tab w:val="right" w:pos="9355"/>
        </w:tabs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lang w:eastAsia="ar-SA"/>
        </w:rPr>
      </w:pPr>
      <w:r w:rsidRPr="006607E4">
        <w:rPr>
          <w:rFonts w:eastAsia="Times New Roman"/>
          <w:b/>
          <w:lang w:eastAsia="ar-SA"/>
        </w:rPr>
        <w:t>Numer sprawy: UKW/DZP-281-D-44/2019</w:t>
      </w:r>
      <w:r w:rsidRPr="006607E4">
        <w:rPr>
          <w:rFonts w:ascii="Century Gothic" w:eastAsia="Times New Roman" w:hAnsi="Century Gothic"/>
          <w:b/>
          <w:sz w:val="20"/>
          <w:lang w:eastAsia="ar-SA"/>
        </w:rPr>
        <w:t xml:space="preserve">                                                       </w:t>
      </w:r>
      <w:r>
        <w:rPr>
          <w:rFonts w:eastAsia="Times New Roman"/>
          <w:b/>
          <w:lang w:eastAsia="ar-SA"/>
        </w:rPr>
        <w:t xml:space="preserve">  </w:t>
      </w:r>
      <w:bookmarkStart w:id="0" w:name="_GoBack"/>
      <w:bookmarkEnd w:id="0"/>
      <w:r w:rsidRPr="006607E4">
        <w:rPr>
          <w:rFonts w:eastAsia="Times New Roman"/>
          <w:b/>
          <w:lang w:eastAsia="ar-SA"/>
        </w:rPr>
        <w:t>Załącznik nr 2 do SIWZ</w:t>
      </w:r>
    </w:p>
    <w:p w:rsidR="006607E4" w:rsidRPr="006607E4" w:rsidRDefault="006607E4" w:rsidP="006607E4">
      <w:pPr>
        <w:tabs>
          <w:tab w:val="right" w:pos="9355"/>
        </w:tabs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6607E4" w:rsidRPr="006607E4" w:rsidRDefault="006607E4" w:rsidP="006607E4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/>
          <w:b/>
          <w:lang w:eastAsia="ar-SA"/>
        </w:rPr>
      </w:pPr>
      <w:r w:rsidRPr="006607E4">
        <w:rPr>
          <w:rFonts w:eastAsia="Times New Roman"/>
          <w:b/>
          <w:lang w:eastAsia="ar-SA"/>
        </w:rPr>
        <w:t>OKREŚLENIE PRZEDMIOTU PRZETARGU</w:t>
      </w:r>
    </w:p>
    <w:p w:rsidR="006607E4" w:rsidRPr="006607E4" w:rsidRDefault="006607E4" w:rsidP="006607E4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607E4" w:rsidRPr="006607E4" w:rsidRDefault="006607E4" w:rsidP="006607E4">
      <w:pPr>
        <w:suppressAutoHyphens/>
        <w:spacing w:after="0" w:line="240" w:lineRule="auto"/>
        <w:ind w:left="360"/>
        <w:jc w:val="center"/>
        <w:rPr>
          <w:rFonts w:eastAsia="Times New Roman"/>
          <w:lang w:eastAsia="ar-SA"/>
        </w:rPr>
      </w:pPr>
      <w:r w:rsidRPr="006607E4">
        <w:rPr>
          <w:rFonts w:eastAsia="Times New Roman"/>
          <w:lang w:eastAsia="ar-SA"/>
        </w:rPr>
        <w:t>„</w:t>
      </w:r>
      <w:r w:rsidRPr="006607E4">
        <w:rPr>
          <w:rFonts w:eastAsia="Times New Roman"/>
          <w:b/>
          <w:i/>
          <w:u w:val="single"/>
          <w:lang w:eastAsia="ar-SA"/>
        </w:rPr>
        <w:t>Wysokorozdzielczy stacjonarny system do analizy struktury materiałów porowatych</w:t>
      </w:r>
      <w:r w:rsidRPr="006607E4">
        <w:rPr>
          <w:rFonts w:eastAsia="Times New Roman"/>
          <w:lang w:eastAsia="ar-SA"/>
        </w:rPr>
        <w:t>”</w:t>
      </w:r>
    </w:p>
    <w:p w:rsidR="006607E4" w:rsidRPr="006607E4" w:rsidRDefault="006607E4" w:rsidP="006607E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607E4" w:rsidRPr="006607E4" w:rsidRDefault="006607E4" w:rsidP="006607E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607E4" w:rsidRPr="006607E4" w:rsidRDefault="006607E4" w:rsidP="006607E4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/>
          <w:b/>
          <w:lang w:eastAsia="ar-SA"/>
        </w:rPr>
      </w:pPr>
      <w:r w:rsidRPr="006607E4">
        <w:rPr>
          <w:rFonts w:eastAsia="Times New Roman"/>
          <w:b/>
          <w:lang w:eastAsia="ar-SA"/>
        </w:rPr>
        <w:t>CZĘŚĆ DO WYPEŁNIENIA PRZEZ PRZYSTĘPUJĄCEGO DO PRZETARGU:</w:t>
      </w:r>
    </w:p>
    <w:p w:rsidR="006607E4" w:rsidRPr="006607E4" w:rsidRDefault="006607E4" w:rsidP="006607E4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tbl>
      <w:tblPr>
        <w:tblStyle w:val="Tabela-Siatka1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41"/>
        <w:gridCol w:w="2692"/>
        <w:gridCol w:w="2128"/>
        <w:gridCol w:w="81"/>
        <w:gridCol w:w="1053"/>
        <w:gridCol w:w="732"/>
        <w:gridCol w:w="1819"/>
      </w:tblGrid>
      <w:tr w:rsidR="006607E4" w:rsidRPr="006607E4" w:rsidTr="00590C8B">
        <w:trPr>
          <w:trHeight w:hRule="exact" w:val="567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Nazwa urządzenia</w:t>
            </w:r>
          </w:p>
        </w:tc>
        <w:tc>
          <w:tcPr>
            <w:tcW w:w="5813" w:type="dxa"/>
            <w:gridSpan w:val="5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92" w:type="dxa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09" w:type="dxa"/>
            <w:gridSpan w:val="2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85" w:type="dxa"/>
            <w:gridSpan w:val="2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Podać </w:t>
            </w:r>
          </w:p>
        </w:tc>
        <w:tc>
          <w:tcPr>
            <w:tcW w:w="1819" w:type="dxa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567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Typ urządzenia</w:t>
            </w:r>
          </w:p>
        </w:tc>
        <w:tc>
          <w:tcPr>
            <w:tcW w:w="5813" w:type="dxa"/>
            <w:gridSpan w:val="5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92" w:type="dxa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09" w:type="dxa"/>
            <w:gridSpan w:val="2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85" w:type="dxa"/>
            <w:gridSpan w:val="2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1819" w:type="dxa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567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5813" w:type="dxa"/>
            <w:gridSpan w:val="5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92" w:type="dxa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09" w:type="dxa"/>
            <w:gridSpan w:val="2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85" w:type="dxa"/>
            <w:gridSpan w:val="2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1819" w:type="dxa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749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Rok produkcji nie wcześniej niż 2017. Urządzenie fabrycznie nowe, </w:t>
            </w:r>
            <w:proofErr w:type="spellStart"/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nierekondycjonowane</w:t>
            </w:r>
            <w:proofErr w:type="spellEnd"/>
          </w:p>
        </w:tc>
        <w:tc>
          <w:tcPr>
            <w:tcW w:w="5813" w:type="dxa"/>
            <w:gridSpan w:val="5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92" w:type="dxa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09" w:type="dxa"/>
            <w:gridSpan w:val="2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85" w:type="dxa"/>
            <w:gridSpan w:val="2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1819" w:type="dxa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567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Rok wprowadzenia urządzenia do seryjnej produkcji</w:t>
            </w:r>
          </w:p>
        </w:tc>
        <w:tc>
          <w:tcPr>
            <w:tcW w:w="5813" w:type="dxa"/>
            <w:gridSpan w:val="5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92" w:type="dxa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09" w:type="dxa"/>
            <w:gridSpan w:val="2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85" w:type="dxa"/>
            <w:gridSpan w:val="2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1819" w:type="dxa"/>
            <w:tcBorders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567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5813" w:type="dxa"/>
            <w:gridSpan w:val="5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227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567"/>
        </w:trPr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Warunki gwarancji i serwisu wymagane przez Zamawiającego.</w:t>
            </w:r>
          </w:p>
        </w:tc>
      </w:tr>
      <w:tr w:rsidR="006607E4" w:rsidRPr="006607E4" w:rsidTr="00590C8B">
        <w:trPr>
          <w:trHeight w:hRule="exact" w:val="980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Nr </w:t>
            </w:r>
            <w:proofErr w:type="spellStart"/>
            <w:r w:rsidRPr="006607E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ppkt</w:t>
            </w:r>
            <w:proofErr w:type="spellEnd"/>
            <w:r w:rsidRPr="006607E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OPIS PARAMETRÓW lub </w:t>
            </w:r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RÓWNOWAŻNE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PARAMETR PUNKTOWANY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WYMAGANIA GRANICZNE 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PARAMETRY OFEROWANE 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(podać lub opisać)</w:t>
            </w:r>
          </w:p>
        </w:tc>
      </w:tr>
      <w:tr w:rsidR="006607E4" w:rsidRPr="006607E4" w:rsidTr="00590C8B">
        <w:trPr>
          <w:trHeight w:hRule="exact" w:val="1425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Gwarancja na urządzenie nie mniej niż 24 miesiące *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od 24 do 35 miesięcy – 1 pkt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od 36 do 48 miesięcy – 3 pkt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49 miesięcy i więcej   – 5 pkt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1276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Gwarancja na system nie mniej niż 24 miesiące*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od 24 do 35 miesięcy – 1 pkt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od 36 do 48 miesięcy – 3 pkt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49 miesięcy i więcej   – 5 pkt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1138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Reakcja serwisu na zgłoszenie problemu ze strony Użytkownika nie dłużej niż 48 h z wyłączeniem dni ustawowo wolnych od pracy w Polsce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val="408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Czas rozwiązania problemu zgłoszonego przez Użytkownika nie dłużej niż 7 dni roboczych z wyłączeniem dni ustawowo wolnych od pracy w Polsce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1232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Dostawca zapewnia dostawę, montaż i pierwsze uruchomienie w obecności zamawiającego w terminie z nim uzgodnionym, w miejscu instalacji urządzenia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Tak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250"/>
        </w:trPr>
        <w:tc>
          <w:tcPr>
            <w:tcW w:w="921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* parametr podlegający ocenie w dodatkowym kryterium oceny ofert „Gwarancja”</w:t>
            </w:r>
          </w:p>
        </w:tc>
      </w:tr>
      <w:tr w:rsidR="006607E4" w:rsidRPr="006607E4" w:rsidTr="00590C8B">
        <w:trPr>
          <w:trHeight w:hRule="exact" w:val="17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510"/>
        </w:trPr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Walory </w:t>
            </w:r>
            <w:proofErr w:type="spellStart"/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techniczno</w:t>
            </w:r>
            <w:proofErr w:type="spellEnd"/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– eksploatacyjne wymagane i punktowane (w kryterium – parametry techniczne) przez Zamawiającego</w:t>
            </w:r>
          </w:p>
        </w:tc>
      </w:tr>
      <w:tr w:rsidR="006607E4" w:rsidRPr="006607E4" w:rsidTr="00590C8B">
        <w:trPr>
          <w:trHeight w:hRule="exact" w:val="624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Nr </w:t>
            </w:r>
            <w:proofErr w:type="spellStart"/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ppkt</w:t>
            </w:r>
            <w:proofErr w:type="spellEnd"/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OPIS PARAMETRÓW lub RÓWNOWAŻNE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PARAMETR PUNKTOWANY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WYMAGANIA GRANICZNE 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PARAMETRY OFEROWANE 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(podać, opisać)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Należy szczegółowo opisać każdy oferowany parametr urządzenia/sprzętu</w:t>
            </w:r>
          </w:p>
        </w:tc>
      </w:tr>
      <w:tr w:rsidR="006607E4" w:rsidRPr="006607E4" w:rsidTr="00590C8B">
        <w:trPr>
          <w:trHeight w:hRule="exact" w:val="1066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Maksymalna energia źródła promieniowania rentgenowskiego nie mniejsza niż 85 </w:t>
            </w:r>
            <w:proofErr w:type="spellStart"/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kV</w:t>
            </w:r>
            <w:proofErr w:type="spellEnd"/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nie mniej niż 85 </w:t>
            </w:r>
            <w:proofErr w:type="spellStart"/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kV</w:t>
            </w:r>
            <w:proofErr w:type="spellEnd"/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– 0 pkt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nie mniej niż 95 </w:t>
            </w:r>
            <w:proofErr w:type="spellStart"/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kV</w:t>
            </w:r>
            <w:proofErr w:type="spellEnd"/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– 1 pkt</w:t>
            </w: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996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Rozmiar plamki ogniskowej źródła promieniowania mniejszy niż 8 µm (przy 4W)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mniejszy niż 8 µm (przy 4W) – 0 pkt 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mniejszy niż 6 µm (przy 4W) – 1 pkt</w:t>
            </w: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854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Detektor promieniowania rentgenowskiego – matryca CCD o rozdzielczości nie mniejszej niż 6 </w:t>
            </w:r>
            <w:proofErr w:type="spellStart"/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Mp</w:t>
            </w:r>
            <w:proofErr w:type="spellEnd"/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nie mniejszej niż  6 </w:t>
            </w:r>
            <w:proofErr w:type="spellStart"/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Mp</w:t>
            </w:r>
            <w:proofErr w:type="spellEnd"/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– 0 pkt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nie mniejszej niż 10 </w:t>
            </w:r>
            <w:proofErr w:type="spellStart"/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Mp</w:t>
            </w:r>
            <w:proofErr w:type="spellEnd"/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– 1 pkt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762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Możliwość wykonania tzw. </w:t>
            </w:r>
            <w:proofErr w:type="spellStart"/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binningu</w:t>
            </w:r>
            <w:proofErr w:type="spellEnd"/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co najmniej 2x2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co najmniej 2x2 – 0 pkt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co najmniej 4x4 – 1 pkt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792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Możliwość zmiany geometrii układu źródło promieniowania – obiekt – detektor 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1555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System posiada możliwość wykonywania skanów w centralnej pozycji oraz skanu offsetowego w co najmniej dwóch pozycjach źródła promieniowania rentgenowskiego lub kamery i detektora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1036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Nominalna rozdzielczość pikselowa osiągana bezpośrednio z powiększenia optycznego (bez dodatkowej obróbki cyfrowej) ≤ 3 µm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≤ 3 µm – 0 pkt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≤ 1 µm – 1 pkt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853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Nominalna rozdzielczość pikselowa przy parametrze 10% MTF w oparciu o pomiary na niezależnym Phantomie ≤ 10 µm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≤ 10 µm – 0 pkt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≤   6 µm – 1 pkt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850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Matryca rekonstrukcji obrazu o rozdzielczości nie mniejszej niż 4000 x 4000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nie mniejszej niż 4000 x 4000 – 0 pkt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nie mniejszej niż 8000 x 8000 – 1 pkt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1132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10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Komora robocza skanera będzie umożliwiać skanowanie próbek o średnicy nie mniejszej niż 50 mm 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840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Komora robocza skanera będzie umożliwiać skanowanie próbek o wysokości nie mniejszej niż 50 mm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852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Automatyczna zmieniarka filtrów promieniowania ma co najmniej 4 pozycje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ma co najmniej 4 pozycje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– 0 pkt 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ma co najmniej 6 pozycji 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– 1 pkt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850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Tomograf posiada przystawkę umożliwiającą przesuwanie w osiach X, Y z krokiem nie większym niż 50 µm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1132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Bezpieczeństwo radiacyjne: promieniowanie w każdym miejscu na powierzchni urządzenia jest mniejsze niż 1µSv/h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836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System będzie urządzeniem typu desktop o wymiarach nie większych niż 1,5 m x 1,0 m x 0,6 m wys. 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510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System będzie urządzeniem typu desktop o wadze do 500 kg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do         500 kg – 0 pkt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poniżej   300 kg – 1 pkt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1337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Tomograf będzie dostarczony z jednostką sterującą wyposażoną w oprogramowanie do obróbki obrazów tomograficznych i analizy danych kompatybilną z dostarczonym systemem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988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Tomograf będzie dostarczony z platformą o wymiarach i nośności odpowiednią do ww. systemu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704"/>
        </w:trPr>
        <w:tc>
          <w:tcPr>
            <w:tcW w:w="708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692" w:type="dxa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Tomograf posiada przystawkę do grzania próbek in-situ do temperatury co najmniej 50°C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715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Tomograf posiada przystawkę do chłodzenia próbek in-situ do temperatury co najmniej -5°C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1122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Tomograf posiada przystawkę do skanowania próbek pod obciążeniem ściskającym i rozciągającym o wartości co najmniej 200N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o wartości co najmniej 200N – 0 pkt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o wartości co najmniej 400N – 1 pkt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340"/>
        </w:trPr>
        <w:tc>
          <w:tcPr>
            <w:tcW w:w="9213" w:type="dxa"/>
            <w:gridSpan w:val="8"/>
            <w:tcBorders>
              <w:top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OPROGRAMOWANIE</w:t>
            </w:r>
          </w:p>
        </w:tc>
      </w:tr>
      <w:tr w:rsidR="006607E4" w:rsidRPr="006607E4" w:rsidTr="00590C8B">
        <w:trPr>
          <w:trHeight w:hRule="exact" w:val="2554"/>
        </w:trPr>
        <w:tc>
          <w:tcPr>
            <w:tcW w:w="567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22</w:t>
            </w:r>
          </w:p>
        </w:tc>
        <w:tc>
          <w:tcPr>
            <w:tcW w:w="2833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Oprogramowanie będzie umożliwiać:</w:t>
            </w:r>
          </w:p>
          <w:p w:rsidR="006607E4" w:rsidRPr="006607E4" w:rsidRDefault="006607E4" w:rsidP="006607E4">
            <w:pPr>
              <w:numPr>
                <w:ilvl w:val="0"/>
                <w:numId w:val="13"/>
              </w:numPr>
              <w:suppressAutoHyphens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Sterowanie systemem i akwizycję danych</w:t>
            </w:r>
          </w:p>
          <w:p w:rsidR="006607E4" w:rsidRPr="006607E4" w:rsidRDefault="006607E4" w:rsidP="006607E4">
            <w:pPr>
              <w:numPr>
                <w:ilvl w:val="0"/>
                <w:numId w:val="13"/>
              </w:numPr>
              <w:suppressAutoHyphens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Rekonstrukcję objętościową obrazów opartą na procesorze CPU oraz GPU</w:t>
            </w:r>
          </w:p>
          <w:p w:rsidR="006607E4" w:rsidRPr="006607E4" w:rsidRDefault="006607E4" w:rsidP="006607E4">
            <w:pPr>
              <w:numPr>
                <w:ilvl w:val="0"/>
                <w:numId w:val="13"/>
              </w:numPr>
              <w:suppressAutoHyphens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Analizę obrazów 2D/3D</w:t>
            </w:r>
          </w:p>
          <w:p w:rsidR="006607E4" w:rsidRPr="006607E4" w:rsidRDefault="006607E4" w:rsidP="006607E4">
            <w:pPr>
              <w:numPr>
                <w:ilvl w:val="0"/>
                <w:numId w:val="13"/>
              </w:numPr>
              <w:suppressAutoHyphens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Powierzchniowy i objętościowy rendering z możliwością zapisu w standardowych formatach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1271"/>
        </w:trPr>
        <w:tc>
          <w:tcPr>
            <w:tcW w:w="567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833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Oprogramowanie posiada bezpłatną i bezterminową licencję dla co najmniej 1 użytkownika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dla co najmniej 1 użytkownika 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– 0 pkt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dla co najmniej 3 użytkowników </w:t>
            </w:r>
          </w:p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– 1 pkt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1133"/>
        </w:trPr>
        <w:tc>
          <w:tcPr>
            <w:tcW w:w="567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833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Oprogramowanie będzie kompatybilne ze standardowymi komputerami i systemami operacyjnymi obecnie znajdującymi się u Zamawiającego</w:t>
            </w:r>
          </w:p>
        </w:tc>
        <w:tc>
          <w:tcPr>
            <w:tcW w:w="2128" w:type="dxa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gridSpan w:val="2"/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83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Dostawca zapewnia bezpłatną aktualizację oprogramowania w czasie trwania gwarancji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113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Dostawca zapewnia bezpłatne aktualizacje oprogramowania minimum 12 miesięcy po zakończeniu okresu gwarancji dla wszystkich użytkowników 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607E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Tak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6607E4" w:rsidRPr="006607E4" w:rsidTr="00590C8B">
        <w:trPr>
          <w:trHeight w:hRule="exact" w:val="170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128" w:type="dxa"/>
            <w:tcBorders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607E4" w:rsidRPr="006607E4" w:rsidRDefault="006607E4" w:rsidP="006607E4">
            <w:pPr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6607E4" w:rsidRPr="006607E4" w:rsidRDefault="006607E4" w:rsidP="006607E4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607E4" w:rsidRPr="006607E4" w:rsidRDefault="006607E4" w:rsidP="006607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607E4" w:rsidRPr="006607E4" w:rsidRDefault="006607E4" w:rsidP="006607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607E4" w:rsidRPr="006607E4" w:rsidRDefault="006607E4" w:rsidP="006607E4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6607E4">
        <w:rPr>
          <w:rFonts w:eastAsia="Times New Roman"/>
          <w:lang w:eastAsia="ar-SA"/>
        </w:rPr>
        <w:t>UWAGA:</w:t>
      </w:r>
    </w:p>
    <w:p w:rsidR="006607E4" w:rsidRPr="006607E4" w:rsidRDefault="006607E4" w:rsidP="006607E4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6607E4">
        <w:rPr>
          <w:rFonts w:eastAsia="Times New Roman"/>
          <w:lang w:eastAsia="ar-SA"/>
        </w:rPr>
        <w:t xml:space="preserve">Dla uznania oferty za ważną Wykonawca winien zaoferować sprzęt spełniający wszystkie wymagania graniczne. </w:t>
      </w:r>
    </w:p>
    <w:p w:rsidR="006607E4" w:rsidRPr="006607E4" w:rsidRDefault="006607E4" w:rsidP="006607E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3919" w:rsidRDefault="00833919" w:rsidP="00833919">
      <w:pPr>
        <w:spacing w:after="0" w:line="240" w:lineRule="auto"/>
        <w:rPr>
          <w:rFonts w:ascii="Times New Roman" w:hAnsi="Times New Roman"/>
        </w:rPr>
      </w:pPr>
    </w:p>
    <w:p w:rsidR="00833919" w:rsidRDefault="00833919" w:rsidP="00833919">
      <w:pPr>
        <w:spacing w:after="0" w:line="240" w:lineRule="auto"/>
        <w:rPr>
          <w:rFonts w:ascii="Times New Roman" w:hAnsi="Times New Roman"/>
        </w:rPr>
      </w:pPr>
    </w:p>
    <w:p w:rsidR="00833919" w:rsidRDefault="00833919" w:rsidP="00833919">
      <w:pPr>
        <w:spacing w:after="0" w:line="240" w:lineRule="auto"/>
        <w:rPr>
          <w:rFonts w:ascii="Times New Roman" w:hAnsi="Times New Roman"/>
        </w:rPr>
      </w:pPr>
    </w:p>
    <w:p w:rsidR="000C78FC" w:rsidRPr="00833919" w:rsidRDefault="000C78FC" w:rsidP="00833919">
      <w:pPr>
        <w:spacing w:after="0" w:line="240" w:lineRule="auto"/>
        <w:rPr>
          <w:rFonts w:ascii="Times New Roman" w:hAnsi="Times New Roman"/>
        </w:rPr>
      </w:pPr>
    </w:p>
    <w:sectPr w:rsidR="000C78FC" w:rsidRPr="00833919" w:rsidSect="000C78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DD" w:rsidRDefault="00E458DD" w:rsidP="00833919">
      <w:pPr>
        <w:spacing w:after="0" w:line="240" w:lineRule="auto"/>
      </w:pPr>
      <w:r>
        <w:separator/>
      </w:r>
    </w:p>
  </w:endnote>
  <w:endnote w:type="continuationSeparator" w:id="0">
    <w:p w:rsidR="00E458DD" w:rsidRDefault="00E458DD" w:rsidP="0083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E2" w:rsidRDefault="00C173E2">
    <w:pPr>
      <w:pStyle w:val="Stopka"/>
      <w:jc w:val="right"/>
    </w:pPr>
  </w:p>
  <w:p w:rsidR="00C173E2" w:rsidRDefault="00C17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DD" w:rsidRDefault="00E458DD" w:rsidP="00833919">
      <w:pPr>
        <w:spacing w:after="0" w:line="240" w:lineRule="auto"/>
      </w:pPr>
      <w:r>
        <w:separator/>
      </w:r>
    </w:p>
  </w:footnote>
  <w:footnote w:type="continuationSeparator" w:id="0">
    <w:p w:rsidR="00E458DD" w:rsidRDefault="00E458DD" w:rsidP="0083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E2" w:rsidRDefault="00C173E2" w:rsidP="00DE6E3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21055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3E2" w:rsidRDefault="00C17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17"/>
    <w:multiLevelType w:val="hybridMultilevel"/>
    <w:tmpl w:val="76808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7351"/>
    <w:multiLevelType w:val="hybridMultilevel"/>
    <w:tmpl w:val="9A181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07ED"/>
    <w:multiLevelType w:val="hybridMultilevel"/>
    <w:tmpl w:val="7C4E3598"/>
    <w:lvl w:ilvl="0" w:tplc="6E006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627572"/>
    <w:multiLevelType w:val="hybridMultilevel"/>
    <w:tmpl w:val="DE0C0F14"/>
    <w:lvl w:ilvl="0" w:tplc="D9948EF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047F3"/>
    <w:multiLevelType w:val="hybridMultilevel"/>
    <w:tmpl w:val="0E227AD6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FC5198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70459"/>
    <w:multiLevelType w:val="hybridMultilevel"/>
    <w:tmpl w:val="1908C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6AF0"/>
    <w:multiLevelType w:val="hybridMultilevel"/>
    <w:tmpl w:val="E7928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6CC1"/>
    <w:multiLevelType w:val="hybridMultilevel"/>
    <w:tmpl w:val="0AA23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35841"/>
    <w:multiLevelType w:val="hybridMultilevel"/>
    <w:tmpl w:val="EFE6E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300F9"/>
    <w:multiLevelType w:val="hybridMultilevel"/>
    <w:tmpl w:val="0C9E685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8A473A"/>
    <w:multiLevelType w:val="hybridMultilevel"/>
    <w:tmpl w:val="D8A6D142"/>
    <w:lvl w:ilvl="0" w:tplc="73143CF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86D7A"/>
    <w:multiLevelType w:val="hybridMultilevel"/>
    <w:tmpl w:val="4198D2EA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A37C3"/>
    <w:multiLevelType w:val="hybridMultilevel"/>
    <w:tmpl w:val="354C1F20"/>
    <w:lvl w:ilvl="0" w:tplc="929CE94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19"/>
    <w:rsid w:val="000C78FC"/>
    <w:rsid w:val="00313C52"/>
    <w:rsid w:val="003E52F8"/>
    <w:rsid w:val="00406114"/>
    <w:rsid w:val="006607E4"/>
    <w:rsid w:val="00723492"/>
    <w:rsid w:val="007A5FF9"/>
    <w:rsid w:val="00833919"/>
    <w:rsid w:val="00B40C22"/>
    <w:rsid w:val="00C173E2"/>
    <w:rsid w:val="00DE2B9B"/>
    <w:rsid w:val="00DE6E35"/>
    <w:rsid w:val="00E458DD"/>
    <w:rsid w:val="00E6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9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919"/>
  </w:style>
  <w:style w:type="paragraph" w:styleId="Stopka">
    <w:name w:val="footer"/>
    <w:basedOn w:val="Normalny"/>
    <w:link w:val="StopkaZnak"/>
    <w:uiPriority w:val="99"/>
    <w:unhideWhenUsed/>
    <w:rsid w:val="0083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919"/>
  </w:style>
  <w:style w:type="paragraph" w:styleId="Tekstdymka">
    <w:name w:val="Balloon Text"/>
    <w:basedOn w:val="Normalny"/>
    <w:link w:val="TekstdymkaZnak"/>
    <w:uiPriority w:val="99"/>
    <w:semiHidden/>
    <w:unhideWhenUsed/>
    <w:rsid w:val="0083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3919"/>
    <w:pPr>
      <w:ind w:left="720"/>
      <w:contextualSpacing/>
    </w:pPr>
  </w:style>
  <w:style w:type="table" w:styleId="Tabela-Siatka">
    <w:name w:val="Table Grid"/>
    <w:basedOn w:val="Standardowy"/>
    <w:uiPriority w:val="59"/>
    <w:rsid w:val="0083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o-sm">
    <w:name w:val="kto - sm"/>
    <w:basedOn w:val="Normalny"/>
    <w:rsid w:val="00833919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6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9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919"/>
  </w:style>
  <w:style w:type="paragraph" w:styleId="Stopka">
    <w:name w:val="footer"/>
    <w:basedOn w:val="Normalny"/>
    <w:link w:val="StopkaZnak"/>
    <w:uiPriority w:val="99"/>
    <w:unhideWhenUsed/>
    <w:rsid w:val="0083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919"/>
  </w:style>
  <w:style w:type="paragraph" w:styleId="Tekstdymka">
    <w:name w:val="Balloon Text"/>
    <w:basedOn w:val="Normalny"/>
    <w:link w:val="TekstdymkaZnak"/>
    <w:uiPriority w:val="99"/>
    <w:semiHidden/>
    <w:unhideWhenUsed/>
    <w:rsid w:val="0083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3919"/>
    <w:pPr>
      <w:ind w:left="720"/>
      <w:contextualSpacing/>
    </w:pPr>
  </w:style>
  <w:style w:type="table" w:styleId="Tabela-Siatka">
    <w:name w:val="Table Grid"/>
    <w:basedOn w:val="Standardowy"/>
    <w:uiPriority w:val="59"/>
    <w:rsid w:val="0083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o-sm">
    <w:name w:val="kto - sm"/>
    <w:basedOn w:val="Normalny"/>
    <w:rsid w:val="00833919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6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UKW</dc:creator>
  <cp:lastModifiedBy>UKW</cp:lastModifiedBy>
  <cp:revision>2</cp:revision>
  <cp:lastPrinted>2019-02-12T07:31:00Z</cp:lastPrinted>
  <dcterms:created xsi:type="dcterms:W3CDTF">2019-04-25T10:13:00Z</dcterms:created>
  <dcterms:modified xsi:type="dcterms:W3CDTF">2019-04-25T10:13:00Z</dcterms:modified>
</cp:coreProperties>
</file>