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F565C7">
        <w:rPr>
          <w:sz w:val="22"/>
          <w:szCs w:val="22"/>
        </w:rPr>
        <w:t>10</w:t>
      </w:r>
      <w:r w:rsidRPr="00B24348">
        <w:rPr>
          <w:sz w:val="22"/>
          <w:szCs w:val="22"/>
        </w:rPr>
        <w:t>.2022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654"/>
      </w:tblGrid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1494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711"/>
        </w:trPr>
        <w:tc>
          <w:tcPr>
            <w:tcW w:w="2057" w:type="dxa"/>
          </w:tcPr>
          <w:p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:rsidTr="00A05A61">
        <w:trPr>
          <w:trHeight w:val="1741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53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3705"/>
            </w:tblGrid>
            <w:tr w:rsidR="00B24348" w:rsidRPr="00E21A51" w:rsidTr="00A05A61">
              <w:trPr>
                <w:trHeight w:val="276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:rsidTr="00A05A61">
        <w:trPr>
          <w:trHeight w:val="5235"/>
        </w:trPr>
        <w:tc>
          <w:tcPr>
            <w:tcW w:w="2057" w:type="dxa"/>
          </w:tcPr>
          <w:p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493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05"/>
              <w:gridCol w:w="958"/>
            </w:tblGrid>
            <w:tr w:rsidR="00B24348" w:rsidRPr="00E21A51" w:rsidTr="00A05A61">
              <w:trPr>
                <w:trHeight w:val="247"/>
              </w:trPr>
              <w:tc>
                <w:tcPr>
                  <w:tcW w:w="3705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24348" w:rsidRPr="00B24348" w:rsidRDefault="00B24348" w:rsidP="00E21A51">
      <w:pPr>
        <w:pStyle w:val="Akapitzlist"/>
        <w:numPr>
          <w:ilvl w:val="0"/>
          <w:numId w:val="66"/>
        </w:numPr>
        <w:spacing w:line="276" w:lineRule="auto"/>
        <w:jc w:val="both"/>
      </w:pPr>
      <w:r w:rsidRPr="00852B56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Pr="00852B56">
        <w:rPr>
          <w:b/>
          <w:sz w:val="22"/>
          <w:szCs w:val="22"/>
        </w:rPr>
        <w:t>„</w:t>
      </w:r>
      <w:r w:rsidR="007F4ADB" w:rsidRPr="007F4ADB">
        <w:rPr>
          <w:b/>
          <w:sz w:val="22"/>
          <w:szCs w:val="22"/>
        </w:rPr>
        <w:t>Budowa budynku mieszkalnego wielorodzinnego w miejscowości Rogowo</w:t>
      </w:r>
      <w:r w:rsidRPr="00852B56">
        <w:rPr>
          <w:rFonts w:eastAsia="Calibri"/>
          <w:b/>
          <w:sz w:val="22"/>
          <w:szCs w:val="22"/>
        </w:rPr>
        <w:t>”</w:t>
      </w:r>
      <w:r w:rsidRPr="00852B56">
        <w:rPr>
          <w:b/>
          <w:sz w:val="22"/>
          <w:szCs w:val="22"/>
        </w:rPr>
        <w:t xml:space="preserve"> </w:t>
      </w:r>
      <w:r w:rsidRPr="00852B56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026"/>
        <w:gridCol w:w="2090"/>
        <w:gridCol w:w="1378"/>
        <w:gridCol w:w="1970"/>
      </w:tblGrid>
      <w:tr w:rsidR="00B24348" w:rsidRPr="00B24348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:rsidR="00B24348" w:rsidRPr="00B24348" w:rsidRDefault="00321534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PRZEDMIOT</w:t>
            </w:r>
            <w:r w:rsidR="00B24348">
              <w:rPr>
                <w:rFonts w:eastAsia="CIDFont+F1"/>
                <w:b/>
                <w:sz w:val="22"/>
                <w:szCs w:val="22"/>
              </w:rPr>
              <w:t xml:space="preserve"> ZAMÓWIENIA</w:t>
            </w:r>
            <w:r w:rsidR="00B24348"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:rsidTr="00A05A61">
        <w:trPr>
          <w:trHeight w:val="882"/>
        </w:trPr>
        <w:tc>
          <w:tcPr>
            <w:tcW w:w="1193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:rsidR="00B24348" w:rsidRPr="00642CF2" w:rsidRDefault="007F4ADB" w:rsidP="007F4ADB">
            <w:pPr>
              <w:jc w:val="center"/>
              <w:rPr>
                <w:sz w:val="20"/>
                <w:szCs w:val="20"/>
              </w:rPr>
            </w:pPr>
            <w:r w:rsidRPr="00642CF2">
              <w:rPr>
                <w:rFonts w:eastAsia="Calibri"/>
                <w:sz w:val="20"/>
              </w:rPr>
              <w:t>Budowa budynku mieszkalnego wielorodzinnego w miejscowości Rogowo</w:t>
            </w:r>
          </w:p>
        </w:tc>
        <w:tc>
          <w:tcPr>
            <w:tcW w:w="209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5E16FB" w:rsidRDefault="00B24348" w:rsidP="00852B56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1"/>
      </w:tblGrid>
      <w:tr w:rsidR="00B24348" w:rsidRPr="005E16FB" w:rsidTr="00A05A61">
        <w:trPr>
          <w:trHeight w:val="1045"/>
        </w:trPr>
        <w:tc>
          <w:tcPr>
            <w:tcW w:w="4801" w:type="dxa"/>
            <w:shd w:val="clear" w:color="auto" w:fill="C6D9F1"/>
          </w:tcPr>
          <w:p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:rsidR="00B24348" w:rsidRPr="005E16FB" w:rsidRDefault="00B24348" w:rsidP="007F4ADB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 w:rsidR="00852B56">
              <w:rPr>
                <w:sz w:val="22"/>
                <w:szCs w:val="22"/>
              </w:rPr>
              <w:t xml:space="preserve">na </w:t>
            </w:r>
            <w:r w:rsidR="007F4ADB">
              <w:rPr>
                <w:sz w:val="22"/>
                <w:szCs w:val="22"/>
              </w:rPr>
              <w:t>przedmiot zamówienia</w:t>
            </w:r>
            <w:r w:rsidR="00852B56">
              <w:rPr>
                <w:sz w:val="22"/>
                <w:szCs w:val="22"/>
              </w:rPr>
              <w:t xml:space="preserve"> </w:t>
            </w:r>
          </w:p>
        </w:tc>
      </w:tr>
    </w:tbl>
    <w:p w:rsidR="00B24348" w:rsidRP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852B56">
      <w:pPr>
        <w:pStyle w:val="Tekstpodstawowy"/>
        <w:numPr>
          <w:ilvl w:val="0"/>
          <w:numId w:val="66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5"/>
        <w:gridCol w:w="857"/>
      </w:tblGrid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:rsidTr="00A05A61">
        <w:trPr>
          <w:trHeight w:val="686"/>
        </w:trPr>
        <w:tc>
          <w:tcPr>
            <w:tcW w:w="8115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55"/>
      </w:tblGrid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00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:rsidTr="00A05A61">
        <w:trPr>
          <w:trHeight w:val="418"/>
        </w:trPr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Akceptujemy termin wykonania zamówienia oraz warunki płatności, zgodnie z zapisami przedstawionymi w SWZ. 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</w:t>
      </w:r>
      <w:bookmarkStart w:id="0" w:name="_GoBack"/>
      <w:bookmarkEnd w:id="0"/>
      <w:r w:rsidRPr="00B24348">
        <w:rPr>
          <w:sz w:val="22"/>
          <w:szCs w:val="22"/>
        </w:rPr>
        <w:t xml:space="preserve"> w przypadku wybrania naszej oferty do jej zawarcia na warunkach zgodnych z niniejszą ofertą i określonych w Specyfikacji warunków zamówienia, w miejscu i terminie wyznaczonym przez Zamawiającego.</w:t>
      </w:r>
    </w:p>
    <w:p w:rsidR="00B24348" w:rsidRPr="00B24348" w:rsidRDefault="00B24348" w:rsidP="00852B5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946"/>
        <w:gridCol w:w="4264"/>
      </w:tblGrid>
      <w:tr w:rsidR="00B24348" w:rsidRPr="00B24348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:rsidTr="00A05A61">
        <w:trPr>
          <w:trHeight w:val="477"/>
        </w:trPr>
        <w:tc>
          <w:tcPr>
            <w:tcW w:w="367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:rsidR="00B24348" w:rsidRPr="00E21A51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 Wykonawca nie wypełni punktu 11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1" w:name="_Hlk525120238"/>
      <w:r w:rsidRPr="00B24348">
        <w:rPr>
          <w:sz w:val="22"/>
          <w:szCs w:val="22"/>
        </w:rPr>
        <w:t>PODWYKONAWCY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5569"/>
        <w:gridCol w:w="3128"/>
      </w:tblGrid>
      <w:tr w:rsidR="00B24348" w:rsidRPr="00B24348" w:rsidTr="00A05A61">
        <w:trPr>
          <w:trHeight w:val="7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:rsidTr="00A05A61">
        <w:trPr>
          <w:trHeight w:val="24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:rsidTr="00A05A61">
        <w:trPr>
          <w:trHeight w:val="255"/>
        </w:trPr>
        <w:tc>
          <w:tcPr>
            <w:tcW w:w="68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:rsidR="00B24348" w:rsidRPr="00B24348" w:rsidRDefault="00852B56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ustawy; </w:t>
      </w:r>
    </w:p>
    <w:p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jednostką dominującą wykonawcy w rozumieniu art. 3 ust.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37 ustawy z dnia 29 września 1994 r. o rachunkowości (Dz. U. z 2021 r. poz. 217, 2105 i 2106), nie jest podmiot wymieniony w wykazach określonych w rozporządzeniu 765/2006 i rozporządzeniu 269/2014 albo wpisany na listę lub będący taką jednostką dominującą od </w:t>
      </w:r>
      <w:r w:rsidRPr="00B24348">
        <w:rPr>
          <w:sz w:val="22"/>
          <w:szCs w:val="22"/>
        </w:rPr>
        <w:lastRenderedPageBreak/>
        <w:t xml:space="preserve">dnia 24 lutego 2022 r., o ile został wpisany na listę na podstawie decyzji w sprawie wpisu na listę rozstrzygającej o zastosowaniu środka, o którym mowa w art. 1 </w:t>
      </w:r>
      <w:proofErr w:type="spellStart"/>
      <w:r w:rsidRPr="00B24348">
        <w:rPr>
          <w:sz w:val="22"/>
          <w:szCs w:val="22"/>
        </w:rPr>
        <w:t>pkt</w:t>
      </w:r>
      <w:proofErr w:type="spellEnd"/>
      <w:r w:rsidRPr="00B24348">
        <w:rPr>
          <w:sz w:val="22"/>
          <w:szCs w:val="22"/>
        </w:rPr>
        <w:t xml:space="preserve"> 3 ww. ustawy.</w:t>
      </w: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</w:tblGrid>
      <w:tr w:rsidR="00B24348" w:rsidRPr="00B24348" w:rsidTr="00A05A61">
        <w:trPr>
          <w:trHeight w:val="924"/>
        </w:trPr>
        <w:tc>
          <w:tcPr>
            <w:tcW w:w="8578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2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1"/>
    <w:bookmarkEnd w:id="2"/>
    <w:p w:rsidR="00B24348" w:rsidRPr="00B24348" w:rsidRDefault="00B24348" w:rsidP="00852B56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1"/>
      </w:tblGrid>
      <w:tr w:rsidR="00B24348" w:rsidRPr="00B24348" w:rsidTr="00A05A61">
        <w:trPr>
          <w:trHeight w:val="1074"/>
        </w:trPr>
        <w:tc>
          <w:tcPr>
            <w:tcW w:w="8801" w:type="dxa"/>
          </w:tcPr>
          <w:p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</w:t>
      </w:r>
      <w:r w:rsidRPr="004A20AC">
        <w:rPr>
          <w:b/>
          <w:i/>
          <w:sz w:val="22"/>
          <w:szCs w:val="22"/>
        </w:rPr>
        <w:t xml:space="preserve">reprezentowania </w:t>
      </w:r>
      <w:r w:rsidR="004A20AC" w:rsidRPr="004A20AC">
        <w:rPr>
          <w:rFonts w:eastAsia="CIDFont+F1"/>
          <w:b/>
          <w:i/>
          <w:sz w:val="22"/>
          <w:szCs w:val="22"/>
        </w:rPr>
        <w:t>Wykonawcy</w:t>
      </w:r>
      <w:r w:rsidRPr="004A20AC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1C" w:rsidRDefault="00F94E1C" w:rsidP="00A57F2D">
      <w:r>
        <w:separator/>
      </w:r>
    </w:p>
  </w:endnote>
  <w:endnote w:type="continuationSeparator" w:id="0">
    <w:p w:rsidR="00F94E1C" w:rsidRDefault="00F94E1C" w:rsidP="00A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:rsidR="0021599F" w:rsidRPr="0021599F" w:rsidRDefault="0048627A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>
            <v:group id="_x0000_s9113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1138" type="#_x0000_t202" style="position:absolute;left:10803;top:14982;width:659;height:288" filled="f" stroked="f">
                <v:textbox style="mso-next-textbox:#_x0000_s91138" inset="0,0,0,0">
                  <w:txbxContent>
                    <w:p w:rsidR="0021599F" w:rsidRPr="0021599F" w:rsidRDefault="0048627A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4A20AC" w:rsidRPr="004A20AC">
                        <w:rPr>
                          <w:noProof/>
                          <w:color w:val="8C8C8C" w:themeColor="background1" w:themeShade="8C"/>
                          <w:sz w:val="18"/>
                        </w:rPr>
                        <w:t>4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9113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91140" type="#_x0000_t34" style="position:absolute;left:-8;top:14978;width:1260;height:230;flip:y" o:connectortype="elbow" adj=",1024457,257" strokecolor="#a5a5a5 [2092]"/>
                <v:shape id="_x0000_s9114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1C" w:rsidRDefault="00F94E1C" w:rsidP="00A57F2D">
      <w:r>
        <w:separator/>
      </w:r>
    </w:p>
  </w:footnote>
  <w:footnote w:type="continuationSeparator" w:id="0">
    <w:p w:rsidR="00F94E1C" w:rsidRDefault="00F94E1C" w:rsidP="00A5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0" w:rsidRDefault="007F4ADB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1877060</wp:posOffset>
          </wp:positionH>
          <wp:positionV relativeFrom="paragraph">
            <wp:posOffset>-311785</wp:posOffset>
          </wp:positionV>
          <wp:extent cx="2058035" cy="570230"/>
          <wp:effectExtent l="19050" t="0" r="0" b="0"/>
          <wp:wrapSquare wrapText="bothSides"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0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7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2"/>
  </w:num>
  <w:num w:numId="2">
    <w:abstractNumId w:val="34"/>
  </w:num>
  <w:num w:numId="3">
    <w:abstractNumId w:val="29"/>
  </w:num>
  <w:num w:numId="4">
    <w:abstractNumId w:val="55"/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39"/>
  </w:num>
  <w:num w:numId="8">
    <w:abstractNumId w:val="18"/>
  </w:num>
  <w:num w:numId="9">
    <w:abstractNumId w:val="45"/>
  </w:num>
  <w:num w:numId="10">
    <w:abstractNumId w:val="60"/>
  </w:num>
  <w:num w:numId="11">
    <w:abstractNumId w:val="22"/>
  </w:num>
  <w:num w:numId="12">
    <w:abstractNumId w:val="13"/>
  </w:num>
  <w:num w:numId="13">
    <w:abstractNumId w:val="49"/>
  </w:num>
  <w:num w:numId="14">
    <w:abstractNumId w:val="31"/>
  </w:num>
  <w:num w:numId="15">
    <w:abstractNumId w:val="57"/>
  </w:num>
  <w:num w:numId="16">
    <w:abstractNumId w:val="11"/>
  </w:num>
  <w:num w:numId="17">
    <w:abstractNumId w:val="48"/>
  </w:num>
  <w:num w:numId="18">
    <w:abstractNumId w:val="53"/>
  </w:num>
  <w:num w:numId="19">
    <w:abstractNumId w:val="40"/>
  </w:num>
  <w:num w:numId="20">
    <w:abstractNumId w:val="35"/>
  </w:num>
  <w:num w:numId="21">
    <w:abstractNumId w:val="26"/>
  </w:num>
  <w:num w:numId="22">
    <w:abstractNumId w:val="15"/>
  </w:num>
  <w:num w:numId="23">
    <w:abstractNumId w:val="25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44"/>
  </w:num>
  <w:num w:numId="29">
    <w:abstractNumId w:val="9"/>
  </w:num>
  <w:num w:numId="30">
    <w:abstractNumId w:val="4"/>
  </w:num>
  <w:num w:numId="31">
    <w:abstractNumId w:val="14"/>
  </w:num>
  <w:num w:numId="32">
    <w:abstractNumId w:val="23"/>
  </w:num>
  <w:num w:numId="33">
    <w:abstractNumId w:val="47"/>
  </w:num>
  <w:num w:numId="34">
    <w:abstractNumId w:val="63"/>
  </w:num>
  <w:num w:numId="35">
    <w:abstractNumId w:val="52"/>
  </w:num>
  <w:num w:numId="36">
    <w:abstractNumId w:val="51"/>
  </w:num>
  <w:num w:numId="37">
    <w:abstractNumId w:val="50"/>
  </w:num>
  <w:num w:numId="38">
    <w:abstractNumId w:val="56"/>
  </w:num>
  <w:num w:numId="39">
    <w:abstractNumId w:val="43"/>
  </w:num>
  <w:num w:numId="40">
    <w:abstractNumId w:val="28"/>
  </w:num>
  <w:num w:numId="41">
    <w:abstractNumId w:val="6"/>
  </w:num>
  <w:num w:numId="42">
    <w:abstractNumId w:val="5"/>
  </w:num>
  <w:num w:numId="43">
    <w:abstractNumId w:val="24"/>
  </w:num>
  <w:num w:numId="44">
    <w:abstractNumId w:val="36"/>
  </w:num>
  <w:num w:numId="45">
    <w:abstractNumId w:val="46"/>
  </w:num>
  <w:num w:numId="46">
    <w:abstractNumId w:val="17"/>
  </w:num>
  <w:num w:numId="47">
    <w:abstractNumId w:val="32"/>
  </w:num>
  <w:num w:numId="48">
    <w:abstractNumId w:val="58"/>
  </w:num>
  <w:num w:numId="49">
    <w:abstractNumId w:val="7"/>
  </w:num>
  <w:num w:numId="50">
    <w:abstractNumId w:val="59"/>
  </w:num>
  <w:num w:numId="51">
    <w:abstractNumId w:val="0"/>
  </w:num>
  <w:num w:numId="52">
    <w:abstractNumId w:val="38"/>
  </w:num>
  <w:num w:numId="53">
    <w:abstractNumId w:val="19"/>
  </w:num>
  <w:num w:numId="54">
    <w:abstractNumId w:val="42"/>
  </w:num>
  <w:num w:numId="55">
    <w:abstractNumId w:val="33"/>
  </w:num>
  <w:num w:numId="56">
    <w:abstractNumId w:val="61"/>
  </w:num>
  <w:num w:numId="57">
    <w:abstractNumId w:val="10"/>
  </w:num>
  <w:num w:numId="58">
    <w:abstractNumId w:val="3"/>
  </w:num>
  <w:num w:numId="59">
    <w:abstractNumId w:val="8"/>
  </w:num>
  <w:num w:numId="60">
    <w:abstractNumId w:val="2"/>
  </w:num>
  <w:num w:numId="61">
    <w:abstractNumId w:val="16"/>
  </w:num>
  <w:num w:numId="62">
    <w:abstractNumId w:val="20"/>
  </w:num>
  <w:num w:numId="63">
    <w:abstractNumId w:val="27"/>
  </w:num>
  <w:num w:numId="64">
    <w:abstractNumId w:val="41"/>
  </w:num>
  <w:num w:numId="65">
    <w:abstractNumId w:val="1"/>
  </w:num>
  <w:num w:numId="66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0354"/>
    <o:shapelayout v:ext="edit">
      <o:idmap v:ext="edit" data="89"/>
      <o:rules v:ext="edit">
        <o:r id="V:Rule3" type="connector" idref="#_x0000_s91140"/>
        <o:r id="V:Rule4" type="connector" idref="#_x0000_s911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57DE8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1658A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21534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1925"/>
    <w:rsid w:val="003B3695"/>
    <w:rsid w:val="003B404C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627A"/>
    <w:rsid w:val="00487719"/>
    <w:rsid w:val="00490809"/>
    <w:rsid w:val="00492B07"/>
    <w:rsid w:val="004944DE"/>
    <w:rsid w:val="00496908"/>
    <w:rsid w:val="004971E6"/>
    <w:rsid w:val="004A052B"/>
    <w:rsid w:val="004A1DE1"/>
    <w:rsid w:val="004A20AC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5750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2CF2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73F2"/>
    <w:rsid w:val="007D104B"/>
    <w:rsid w:val="007E0386"/>
    <w:rsid w:val="007E2531"/>
    <w:rsid w:val="007E295A"/>
    <w:rsid w:val="007E570F"/>
    <w:rsid w:val="007E74DD"/>
    <w:rsid w:val="007F0CFC"/>
    <w:rsid w:val="007F4ADB"/>
    <w:rsid w:val="00801614"/>
    <w:rsid w:val="008070B1"/>
    <w:rsid w:val="00815717"/>
    <w:rsid w:val="00830B27"/>
    <w:rsid w:val="00833B9F"/>
    <w:rsid w:val="00835BDD"/>
    <w:rsid w:val="00842145"/>
    <w:rsid w:val="0084722A"/>
    <w:rsid w:val="00852B56"/>
    <w:rsid w:val="0087419E"/>
    <w:rsid w:val="008763AB"/>
    <w:rsid w:val="00881DC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1263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565C7"/>
    <w:rsid w:val="00F6005E"/>
    <w:rsid w:val="00F623F6"/>
    <w:rsid w:val="00F64168"/>
    <w:rsid w:val="00F74379"/>
    <w:rsid w:val="00F81FF6"/>
    <w:rsid w:val="00F94E1C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9E79CB-8D5D-42B2-89A2-82FEB320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mdlugokecka</cp:lastModifiedBy>
  <cp:revision>9</cp:revision>
  <cp:lastPrinted>2021-11-19T10:59:00Z</cp:lastPrinted>
  <dcterms:created xsi:type="dcterms:W3CDTF">2022-10-19T10:29:00Z</dcterms:created>
  <dcterms:modified xsi:type="dcterms:W3CDTF">2022-11-24T12:46:00Z</dcterms:modified>
</cp:coreProperties>
</file>