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1AAC3" w14:textId="77848C8C" w:rsidR="00401196" w:rsidRPr="00B65293" w:rsidRDefault="002D7380" w:rsidP="00F22F7D">
      <w:pPr>
        <w:tabs>
          <w:tab w:val="right" w:pos="9070"/>
        </w:tabs>
        <w:spacing w:before="240" w:after="0"/>
        <w:rPr>
          <w:rFonts w:cs="Calibri"/>
          <w:noProof/>
          <w:szCs w:val="22"/>
        </w:rPr>
      </w:pPr>
      <w:r w:rsidRPr="00B65293">
        <w:rPr>
          <w:szCs w:val="22"/>
        </w:rPr>
        <w:t xml:space="preserve">Znak sprawy: </w:t>
      </w:r>
      <w:bookmarkStart w:id="0" w:name="ezdSprawaZnak"/>
      <w:r w:rsidRPr="00B65293">
        <w:rPr>
          <w:szCs w:val="22"/>
        </w:rPr>
        <w:t>ZP</w:t>
      </w:r>
      <w:r w:rsidR="009F30BF" w:rsidRPr="00B65293">
        <w:rPr>
          <w:szCs w:val="22"/>
        </w:rPr>
        <w:t>iFZ</w:t>
      </w:r>
      <w:r w:rsidRPr="00B65293">
        <w:rPr>
          <w:szCs w:val="22"/>
        </w:rPr>
        <w:t>.271.1.</w:t>
      </w:r>
      <w:r w:rsidR="00AD4375" w:rsidRPr="00B65293">
        <w:rPr>
          <w:szCs w:val="22"/>
        </w:rPr>
        <w:t>1</w:t>
      </w:r>
      <w:r w:rsidR="000E2592" w:rsidRPr="00B65293">
        <w:rPr>
          <w:szCs w:val="22"/>
        </w:rPr>
        <w:t>9</w:t>
      </w:r>
      <w:r w:rsidRPr="00B65293">
        <w:rPr>
          <w:szCs w:val="22"/>
        </w:rPr>
        <w:t>.202</w:t>
      </w:r>
      <w:bookmarkEnd w:id="0"/>
      <w:r w:rsidR="009F30BF" w:rsidRPr="00B65293">
        <w:rPr>
          <w:szCs w:val="22"/>
        </w:rPr>
        <w:t>5</w:t>
      </w:r>
      <w:r w:rsidRPr="00B65293">
        <w:rPr>
          <w:szCs w:val="22"/>
        </w:rPr>
        <w:t>.</w:t>
      </w:r>
      <w:bookmarkStart w:id="1" w:name="ezdAutorInicjaly"/>
      <w:r w:rsidRPr="00B65293">
        <w:rPr>
          <w:szCs w:val="22"/>
        </w:rPr>
        <w:t>IW</w:t>
      </w:r>
      <w:bookmarkEnd w:id="1"/>
      <w:r w:rsidR="003452F5" w:rsidRPr="00B65293">
        <w:rPr>
          <w:szCs w:val="22"/>
        </w:rPr>
        <w:t>(</w:t>
      </w:r>
      <w:r w:rsidR="004429CE">
        <w:rPr>
          <w:szCs w:val="22"/>
        </w:rPr>
        <w:t>5</w:t>
      </w:r>
      <w:bookmarkStart w:id="2" w:name="_GoBack"/>
      <w:bookmarkEnd w:id="2"/>
      <w:r w:rsidR="003452F5" w:rsidRPr="00B65293">
        <w:rPr>
          <w:szCs w:val="22"/>
        </w:rPr>
        <w:t>)</w:t>
      </w:r>
      <w:r w:rsidR="000E2592" w:rsidRPr="00B65293">
        <w:rPr>
          <w:szCs w:val="22"/>
        </w:rPr>
        <w:t xml:space="preserve">                                                        Raszyn, dnia </w:t>
      </w:r>
      <w:r w:rsidR="00401196" w:rsidRPr="00B65293">
        <w:rPr>
          <w:szCs w:val="22"/>
        </w:rPr>
        <w:t>2</w:t>
      </w:r>
      <w:r w:rsidR="00DE0009" w:rsidRPr="00B65293">
        <w:rPr>
          <w:szCs w:val="22"/>
        </w:rPr>
        <w:t>4</w:t>
      </w:r>
      <w:r w:rsidR="00401196" w:rsidRPr="00B65293">
        <w:rPr>
          <w:szCs w:val="22"/>
        </w:rPr>
        <w:t xml:space="preserve"> </w:t>
      </w:r>
      <w:r w:rsidR="000E2592" w:rsidRPr="00B65293">
        <w:rPr>
          <w:szCs w:val="22"/>
        </w:rPr>
        <w:t>lipca 2025 r.</w:t>
      </w:r>
      <w:r w:rsidRPr="00B65293">
        <w:rPr>
          <w:szCs w:val="22"/>
        </w:rPr>
        <w:tab/>
      </w:r>
    </w:p>
    <w:p w14:paraId="6AD0C312" w14:textId="77777777" w:rsidR="00F22F7D" w:rsidRPr="00B65293" w:rsidRDefault="00F22F7D" w:rsidP="00F22F7D">
      <w:pPr>
        <w:spacing w:after="0"/>
        <w:ind w:left="426" w:hanging="426"/>
        <w:rPr>
          <w:rFonts w:cstheme="minorHAnsi"/>
          <w:szCs w:val="22"/>
        </w:rPr>
      </w:pPr>
    </w:p>
    <w:p w14:paraId="65D86746" w14:textId="77777777" w:rsidR="009F30BF" w:rsidRPr="00B65293" w:rsidRDefault="009F30BF" w:rsidP="009F30BF">
      <w:pPr>
        <w:spacing w:after="0"/>
        <w:ind w:left="426" w:hanging="426"/>
        <w:rPr>
          <w:rFonts w:cstheme="minorHAnsi"/>
          <w:szCs w:val="22"/>
        </w:rPr>
      </w:pPr>
    </w:p>
    <w:p w14:paraId="39FECB43" w14:textId="77777777" w:rsidR="002D7380" w:rsidRPr="00B65293" w:rsidRDefault="002D7380" w:rsidP="00AD4375">
      <w:pPr>
        <w:spacing w:after="0"/>
        <w:ind w:left="426" w:hanging="426"/>
        <w:rPr>
          <w:rFonts w:cstheme="minorHAnsi"/>
          <w:b/>
          <w:szCs w:val="22"/>
        </w:rPr>
      </w:pPr>
      <w:r w:rsidRPr="00B65293">
        <w:rPr>
          <w:rFonts w:cstheme="minorHAnsi"/>
          <w:szCs w:val="22"/>
        </w:rPr>
        <w:t xml:space="preserve">Dot.: postępowania prowadzonego w trybie podstawowym pn.: </w:t>
      </w:r>
      <w:r w:rsidRPr="00B65293">
        <w:rPr>
          <w:rFonts w:cstheme="minorHAnsi"/>
          <w:b/>
          <w:szCs w:val="22"/>
        </w:rPr>
        <w:t>„</w:t>
      </w:r>
      <w:r w:rsidR="000E2592" w:rsidRPr="00B65293">
        <w:rPr>
          <w:rFonts w:cstheme="minorHAnsi"/>
          <w:b/>
          <w:bCs/>
          <w:iCs/>
          <w:szCs w:val="22"/>
        </w:rPr>
        <w:t>Modernizacja oświetlenia ulicznego w Gminie Raszyn</w:t>
      </w:r>
      <w:r w:rsidR="009F30BF" w:rsidRPr="00B65293">
        <w:rPr>
          <w:rFonts w:cstheme="minorHAnsi"/>
          <w:b/>
          <w:bCs/>
          <w:iCs/>
          <w:szCs w:val="22"/>
        </w:rPr>
        <w:t xml:space="preserve">” </w:t>
      </w:r>
    </w:p>
    <w:p w14:paraId="7EC89337" w14:textId="77777777" w:rsidR="002D7380" w:rsidRPr="00B65293" w:rsidRDefault="002D7380" w:rsidP="002D7380">
      <w:pPr>
        <w:spacing w:before="120" w:after="0"/>
        <w:ind w:firstLine="289"/>
        <w:rPr>
          <w:rFonts w:cstheme="minorHAnsi"/>
          <w:szCs w:val="22"/>
        </w:rPr>
      </w:pPr>
    </w:p>
    <w:p w14:paraId="6FC4A8ED" w14:textId="77777777" w:rsidR="002D7380" w:rsidRPr="00B65293" w:rsidRDefault="002D7380" w:rsidP="009F30BF">
      <w:pPr>
        <w:spacing w:after="0"/>
        <w:ind w:firstLine="289"/>
        <w:rPr>
          <w:rFonts w:cstheme="minorHAnsi"/>
          <w:szCs w:val="22"/>
        </w:rPr>
      </w:pPr>
      <w:r w:rsidRPr="00B65293">
        <w:rPr>
          <w:rFonts w:cstheme="minorHAnsi"/>
          <w:szCs w:val="22"/>
        </w:rPr>
        <w:t>Działając na podstawie art. 284 ust. 2 Ustawy z dnia 11 września 2019 r. - Prawo zamówień publicznych (tekst jedn.: Dz. U. z 202</w:t>
      </w:r>
      <w:r w:rsidR="009F30BF" w:rsidRPr="00B65293">
        <w:rPr>
          <w:rFonts w:cstheme="minorHAnsi"/>
          <w:szCs w:val="22"/>
        </w:rPr>
        <w:t>4</w:t>
      </w:r>
      <w:r w:rsidRPr="00B65293">
        <w:rPr>
          <w:rFonts w:cstheme="minorHAnsi"/>
          <w:szCs w:val="22"/>
        </w:rPr>
        <w:t xml:space="preserve"> r. poz. </w:t>
      </w:r>
      <w:r w:rsidR="009F30BF" w:rsidRPr="00B65293">
        <w:rPr>
          <w:rFonts w:cstheme="minorHAnsi"/>
          <w:szCs w:val="22"/>
        </w:rPr>
        <w:t>1320</w:t>
      </w:r>
      <w:r w:rsidR="000E2592" w:rsidRPr="00B65293">
        <w:rPr>
          <w:rFonts w:cstheme="minorHAnsi"/>
          <w:szCs w:val="22"/>
        </w:rPr>
        <w:t xml:space="preserve"> ze zm.</w:t>
      </w:r>
      <w:r w:rsidRPr="00B65293">
        <w:rPr>
          <w:rFonts w:cstheme="minorHAnsi"/>
          <w:szCs w:val="22"/>
        </w:rPr>
        <w:t>), Zamawiający informuje, iż w niniejszym postępowaniu wpłynęł</w:t>
      </w:r>
      <w:r w:rsidR="00FA4826" w:rsidRPr="00B65293">
        <w:rPr>
          <w:rFonts w:cstheme="minorHAnsi"/>
          <w:szCs w:val="22"/>
        </w:rPr>
        <w:t>o</w:t>
      </w:r>
      <w:r w:rsidRPr="00B65293">
        <w:rPr>
          <w:rFonts w:cstheme="minorHAnsi"/>
          <w:szCs w:val="22"/>
        </w:rPr>
        <w:t xml:space="preserve"> pytani</w:t>
      </w:r>
      <w:r w:rsidR="00FA4826" w:rsidRPr="00B65293">
        <w:rPr>
          <w:rFonts w:cstheme="minorHAnsi"/>
          <w:szCs w:val="22"/>
        </w:rPr>
        <w:t>e</w:t>
      </w:r>
      <w:r w:rsidRPr="00B65293">
        <w:rPr>
          <w:rFonts w:cstheme="minorHAnsi"/>
          <w:szCs w:val="22"/>
        </w:rPr>
        <w:t>, na które Zamawiający udziela odpowiedzi.</w:t>
      </w:r>
    </w:p>
    <w:p w14:paraId="6691875A" w14:textId="77777777" w:rsidR="002D7380" w:rsidRPr="00B65293" w:rsidRDefault="002D7380" w:rsidP="002D7380">
      <w:pPr>
        <w:spacing w:after="0"/>
        <w:rPr>
          <w:rFonts w:cstheme="minorHAnsi"/>
          <w:b/>
          <w:szCs w:val="22"/>
        </w:rPr>
      </w:pPr>
    </w:p>
    <w:p w14:paraId="038EBF12" w14:textId="77777777" w:rsidR="002563BF" w:rsidRPr="00B65293" w:rsidRDefault="002563BF" w:rsidP="002D7380">
      <w:pPr>
        <w:spacing w:after="0"/>
        <w:rPr>
          <w:rFonts w:cstheme="minorHAnsi"/>
          <w:b/>
          <w:szCs w:val="22"/>
        </w:rPr>
      </w:pPr>
    </w:p>
    <w:p w14:paraId="0BCC9E95" w14:textId="77777777" w:rsidR="00DE0009" w:rsidRPr="00B65293" w:rsidRDefault="00DE0009" w:rsidP="00DE0009">
      <w:pPr>
        <w:spacing w:after="0"/>
        <w:rPr>
          <w:b/>
          <w:bCs/>
        </w:rPr>
      </w:pPr>
      <w:r w:rsidRPr="00B65293">
        <w:rPr>
          <w:b/>
          <w:bCs/>
        </w:rPr>
        <w:t>Pytanie 1</w:t>
      </w:r>
    </w:p>
    <w:p w14:paraId="43EC758C" w14:textId="77777777" w:rsidR="00DE0009" w:rsidRPr="00B65293" w:rsidRDefault="00DE0009" w:rsidP="00DE0009">
      <w:pPr>
        <w:spacing w:after="0"/>
      </w:pPr>
      <w:r w:rsidRPr="00B65293">
        <w:t>Prosimy o jednoznaczną odpowiedź w zakresie wymagania by wszystkie oferowane oprawy były oprawami jednego producenta. Pomimo zadanych pytań Zamawiający uchylił się od jednoznacznej odpowiedzi. Wnosimy o Uchylenie wymogu, aby wszystkie oprawy pochodziły od jednego producenta. –</w:t>
      </w:r>
    </w:p>
    <w:p w14:paraId="61665745" w14:textId="77777777" w:rsidR="00DE0009" w:rsidRPr="00B65293" w:rsidRDefault="00DE0009" w:rsidP="00DE0009">
      <w:pPr>
        <w:spacing w:after="0"/>
      </w:pPr>
      <w:r w:rsidRPr="00B65293">
        <w:t>Proponujemy zastąpienie tego zapisu wymogiem zachowania jednolitej estetyki i funkcjonalności w obrębie każdego typu opraw (TYP1, TYP2, parkowe, ozdobne zwieszane), co umożliwi zaoferowanie rozwiązań od różnych producentów, specjalizujących się w danym typie.</w:t>
      </w:r>
    </w:p>
    <w:p w14:paraId="2E2EE2FC" w14:textId="77777777" w:rsidR="00DE0009" w:rsidRPr="00B65293" w:rsidRDefault="00DE0009" w:rsidP="00DE0009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57C6AD1F" w14:textId="77777777" w:rsidR="00DE0009" w:rsidRPr="00B65293" w:rsidRDefault="00DE0009" w:rsidP="00DE0009">
      <w:pPr>
        <w:spacing w:after="0"/>
        <w:jc w:val="left"/>
      </w:pPr>
      <w:r w:rsidRPr="00B65293">
        <w:t>Zamawiający podtrzymuje stanowisko przedstawione w odpowiedzi na pytanie nr 2 z dnia 21.07.2025 r. – w którym, dopuszcza zastosowanie opraw różnych producentów, o ile w obrębie danego typu (np. TYP1, TYP2, parkowe, ozdobne zwieszane) zachowana będzie pełna spójność techniczna, funkcjonalna i estetyczna opisana w Załącznikiem nr 6 do SWZ-OPZ oraz w odpowiedzi na pytanie.</w:t>
      </w:r>
    </w:p>
    <w:p w14:paraId="7BEC545A" w14:textId="77777777" w:rsidR="00DE0009" w:rsidRPr="00B65293" w:rsidRDefault="00DE0009" w:rsidP="00DE0009">
      <w:pPr>
        <w:spacing w:after="0"/>
        <w:jc w:val="left"/>
      </w:pPr>
    </w:p>
    <w:p w14:paraId="346CF596" w14:textId="77777777" w:rsidR="00DE0009" w:rsidRPr="00B65293" w:rsidRDefault="00DE0009" w:rsidP="00DE0009">
      <w:pPr>
        <w:spacing w:after="0"/>
        <w:rPr>
          <w:b/>
          <w:bCs/>
        </w:rPr>
      </w:pPr>
      <w:r w:rsidRPr="00B65293">
        <w:rPr>
          <w:b/>
          <w:bCs/>
        </w:rPr>
        <w:t>Pytanie 2</w:t>
      </w:r>
    </w:p>
    <w:p w14:paraId="53163CC1" w14:textId="77777777" w:rsidR="00DE0009" w:rsidRPr="00B65293" w:rsidRDefault="00DE0009" w:rsidP="00DE0009">
      <w:pPr>
        <w:spacing w:after="0"/>
      </w:pPr>
      <w:r w:rsidRPr="00B65293">
        <w:t xml:space="preserve">Wnosimy o wyjaśnienie podstaw wymagania w zakresie minimalnej skuteczności świetlnej 140 lm/W. </w:t>
      </w:r>
    </w:p>
    <w:p w14:paraId="172599F9" w14:textId="77777777" w:rsidR="00DE0009" w:rsidRPr="00B65293" w:rsidRDefault="00DE0009" w:rsidP="00DE0009">
      <w:pPr>
        <w:spacing w:after="0"/>
      </w:pPr>
      <w:r w:rsidRPr="00B65293">
        <w:t xml:space="preserve">Powyższe wymaganie nie wynika z wymaganych Norm jak I klas dróg. Jednocześnie wnosimy o </w:t>
      </w:r>
    </w:p>
    <w:p w14:paraId="1890A17A" w14:textId="77777777" w:rsidR="00DE0009" w:rsidRPr="00B65293" w:rsidRDefault="00DE0009" w:rsidP="00DE0009">
      <w:pPr>
        <w:spacing w:after="0"/>
      </w:pPr>
      <w:r w:rsidRPr="00B65293">
        <w:t>złagodzenia parametrów skuteczności świetlnej do poziomu min. 120 lm/W – Obecne wymagania (min. 140 lm/W) w połączeniu z ograniczeniami strumienia i mocy wykluczają praktycznie wszystkie oprawy dostępne na rynku, co jest sprzeczne z zasadą uczciwej konkurencji.</w:t>
      </w:r>
    </w:p>
    <w:p w14:paraId="7F8F8BC0" w14:textId="77777777" w:rsidR="00DE0009" w:rsidRPr="00B65293" w:rsidRDefault="00DE0009" w:rsidP="00DE0009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40F13B10" w14:textId="77777777" w:rsidR="00DE0009" w:rsidRPr="00B65293" w:rsidRDefault="00DE0009" w:rsidP="00DE0009">
      <w:pPr>
        <w:spacing w:after="0"/>
        <w:jc w:val="left"/>
      </w:pPr>
      <w:r w:rsidRPr="00B65293">
        <w:t>Zamawiający informuje, że wymóg minimalnej skuteczności świetlnej oprawy ≥140</w:t>
      </w:r>
      <w:r w:rsidRPr="00B65293">
        <w:rPr>
          <w:rFonts w:ascii="Arial" w:hAnsi="Arial" w:cs="Arial"/>
        </w:rPr>
        <w:t> </w:t>
      </w:r>
      <w:r w:rsidRPr="00B65293">
        <w:t>lm/W wynika z przyj</w:t>
      </w:r>
      <w:r w:rsidRPr="00B65293">
        <w:rPr>
          <w:rFonts w:cs="Lato"/>
        </w:rPr>
        <w:t>ę</w:t>
      </w:r>
      <w:r w:rsidRPr="00B65293">
        <w:t>tych za</w:t>
      </w:r>
      <w:r w:rsidRPr="00B65293">
        <w:rPr>
          <w:rFonts w:cs="Lato"/>
        </w:rPr>
        <w:t>ł</w:t>
      </w:r>
      <w:r w:rsidRPr="00B65293">
        <w:t>o</w:t>
      </w:r>
      <w:r w:rsidRPr="00B65293">
        <w:rPr>
          <w:rFonts w:cs="Lato"/>
        </w:rPr>
        <w:t>ż</w:t>
      </w:r>
      <w:r w:rsidRPr="00B65293">
        <w:t>e</w:t>
      </w:r>
      <w:r w:rsidRPr="00B65293">
        <w:rPr>
          <w:rFonts w:cs="Lato"/>
        </w:rPr>
        <w:t>ń</w:t>
      </w:r>
      <w:r w:rsidRPr="00B65293">
        <w:t xml:space="preserve"> efektywno</w:t>
      </w:r>
      <w:r w:rsidRPr="00B65293">
        <w:rPr>
          <w:rFonts w:cs="Lato"/>
        </w:rPr>
        <w:t>ś</w:t>
      </w:r>
      <w:r w:rsidRPr="00B65293">
        <w:t xml:space="preserve">ci energetycznej inwestycji oraz rekomendacji zawartych w Wytycznych WR-D-72-1. </w:t>
      </w:r>
    </w:p>
    <w:p w14:paraId="0173A776" w14:textId="77777777" w:rsidR="00DE0009" w:rsidRPr="00B65293" w:rsidRDefault="00DE0009" w:rsidP="00DE0009">
      <w:pPr>
        <w:spacing w:after="0"/>
        <w:jc w:val="left"/>
      </w:pPr>
      <w:r w:rsidRPr="00B65293">
        <w:t xml:space="preserve">Zamawiający przypomina, że wartości maksymalnej mocy i minimalnego strumienia świetlnego opraw wskazane w Załączniku nr 10.5 SWZ nie są obligatoryjne – potwierdzono to w odpowiedzi na pytanie nr 10 opublikowanego w dniu 2025-07-23. </w:t>
      </w:r>
    </w:p>
    <w:p w14:paraId="4CEC1AC1" w14:textId="77777777" w:rsidR="00DE0009" w:rsidRPr="00B65293" w:rsidRDefault="00DE0009" w:rsidP="00DE0009">
      <w:pPr>
        <w:spacing w:after="0"/>
      </w:pPr>
    </w:p>
    <w:p w14:paraId="18CB437F" w14:textId="77777777" w:rsidR="00DE0009" w:rsidRPr="00B65293" w:rsidRDefault="00DE0009" w:rsidP="00DE0009">
      <w:pPr>
        <w:spacing w:after="0"/>
        <w:rPr>
          <w:b/>
          <w:bCs/>
        </w:rPr>
      </w:pPr>
      <w:r w:rsidRPr="00B65293">
        <w:rPr>
          <w:b/>
          <w:bCs/>
        </w:rPr>
        <w:lastRenderedPageBreak/>
        <w:t>Pytanie 3</w:t>
      </w:r>
    </w:p>
    <w:p w14:paraId="48E914DC" w14:textId="77777777" w:rsidR="00DE0009" w:rsidRPr="00B65293" w:rsidRDefault="00DE0009" w:rsidP="00DE0009">
      <w:pPr>
        <w:spacing w:after="0"/>
      </w:pPr>
      <w:r w:rsidRPr="00B65293">
        <w:t>Prosimy o wyjaśnienie w zakresie przyjętej sztywnej tolerancji wymiarów opraw, która jest tolerancją pozorną I dopuszczenie rozwiązań równoważnych o zbliżonym kształcie I wymiarach. Zmiany sposobu opisu wymiarów opraw na charakter orientacyjny (bez sztywnej tolerancji ±5%) zapewni konkurencyjność w ramach postępowania I wyeliminuje naruszenie równego traktowania wykonawców– Proponujemy przyjęcie zapisu: “oprawy powinny być zbliżone gabarytowo i proporcjonalnie do opraw przedstawionych w OPZ”, co umożliwi zaoferowanie innych modeli o zbliżonym wyglądzie i rozmiarach.</w:t>
      </w:r>
    </w:p>
    <w:p w14:paraId="30D21ED4" w14:textId="77777777" w:rsidR="00DE0009" w:rsidRPr="00B65293" w:rsidRDefault="00DE0009" w:rsidP="00DE0009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07F57BDE" w14:textId="77777777" w:rsidR="00DE0009" w:rsidRPr="00B65293" w:rsidRDefault="00DE0009" w:rsidP="00DE0009">
      <w:pPr>
        <w:spacing w:after="0"/>
        <w:jc w:val="left"/>
      </w:pPr>
      <w:r w:rsidRPr="00B65293">
        <w:t>Zamawiający pozostaje przy dotychczasowych ustaleniach w zakresie wymagań dotyczących wymiarów opraw. Przyjęcie zapisu w proponowanym brzmieniu, tj. „oprawy powinny być zbliżone gabarytowo i proporcjonalnie do opraw przedstawionych w OPZ”, byłoby zbyt ogólne i dopuszczałoby zbyt szerokie spektrum rozwiązań wizualnych, które mogłyby nie odpowiadać założeniom estetycznym przyjętym przez Zamawiającego.</w:t>
      </w:r>
    </w:p>
    <w:p w14:paraId="6F9DA6BF" w14:textId="77777777" w:rsidR="00DE0009" w:rsidRPr="00B65293" w:rsidRDefault="00DE0009" w:rsidP="00DE0009">
      <w:pPr>
        <w:spacing w:after="0"/>
        <w:jc w:val="left"/>
        <w:rPr>
          <w:b/>
          <w:bCs/>
        </w:rPr>
      </w:pPr>
    </w:p>
    <w:p w14:paraId="0E12E8F2" w14:textId="77777777" w:rsidR="00DE0009" w:rsidRPr="00B65293" w:rsidRDefault="00DE0009" w:rsidP="00DE0009">
      <w:pPr>
        <w:spacing w:after="0"/>
        <w:rPr>
          <w:b/>
          <w:bCs/>
        </w:rPr>
      </w:pPr>
      <w:r w:rsidRPr="00B65293">
        <w:rPr>
          <w:b/>
          <w:bCs/>
        </w:rPr>
        <w:t>Pytanie 4</w:t>
      </w:r>
    </w:p>
    <w:p w14:paraId="067F53A0" w14:textId="77777777" w:rsidR="00DE0009" w:rsidRPr="00B65293" w:rsidRDefault="00DE0009" w:rsidP="00DE0009">
      <w:pPr>
        <w:spacing w:after="0"/>
      </w:pPr>
      <w:r w:rsidRPr="00B65293">
        <w:t>Wnosimy o odstąpienie od wymagania narzuconego przez Zamawiającego, wskazującego graﬁczne rozwiązania w zakresie opraw konkretnego producenta. Wnosimy o Usunięcie odniesień graﬁcznych do opraw konkretnych producentów (LUG) – Prosimy o potwierdzenie, że przedstawione rzuty i wizualizacje opraw mają charakter wyłącznie poglądowy i nie stanowią odniesienia do konkretnych modeli I ich parametrów w tym wymiarów.</w:t>
      </w:r>
    </w:p>
    <w:p w14:paraId="5DB7CE15" w14:textId="77777777" w:rsidR="00DE0009" w:rsidRPr="00B65293" w:rsidRDefault="00DE0009" w:rsidP="00DE0009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6F69D4DE" w14:textId="77777777" w:rsidR="00DE0009" w:rsidRPr="00B65293" w:rsidRDefault="00DE0009" w:rsidP="00DE0009">
      <w:pPr>
        <w:spacing w:after="0"/>
      </w:pPr>
      <w:r w:rsidRPr="00B65293">
        <w:t>Zamawiający informuje, że przedstawione w dokumentacji rzuty i wizualizacje opraw mają charakter poglądowy i nie odnoszą się do konkretnych modeli ani producentów. Oprawy muszą spełniać wymagania techniczne i estetyczne, przy zachowaniu dopuszczalnych tolerancji wymiarowych, co umożliwia udział wielu producentów.</w:t>
      </w:r>
    </w:p>
    <w:p w14:paraId="4A182F4D" w14:textId="77777777" w:rsidR="00DE0009" w:rsidRPr="00B65293" w:rsidRDefault="00DE0009" w:rsidP="00DE0009">
      <w:pPr>
        <w:spacing w:after="0"/>
      </w:pPr>
    </w:p>
    <w:p w14:paraId="1CDB711F" w14:textId="77777777" w:rsidR="00DE0009" w:rsidRPr="00B65293" w:rsidRDefault="00DE0009" w:rsidP="00DE0009">
      <w:pPr>
        <w:spacing w:after="0"/>
        <w:rPr>
          <w:b/>
          <w:bCs/>
        </w:rPr>
      </w:pPr>
      <w:r w:rsidRPr="00B65293">
        <w:rPr>
          <w:b/>
          <w:bCs/>
        </w:rPr>
        <w:t>Pytanie 5</w:t>
      </w:r>
    </w:p>
    <w:p w14:paraId="298F6511" w14:textId="77777777" w:rsidR="00DE0009" w:rsidRPr="00B65293" w:rsidRDefault="00DE0009" w:rsidP="00DE0009">
      <w:pPr>
        <w:spacing w:after="0"/>
      </w:pPr>
      <w:r w:rsidRPr="00B65293">
        <w:t xml:space="preserve">Prosimy o wyjaśnienie odstąpienia od wymagania w ramach przedmiotowego postępowania system sterowania oprawami. Zamawiający w udzielonych wyjaśnieniach wskazuje, że w przyszłości przewiduje wprowadzenie system sterowania. Powyższe podejście </w:t>
      </w:r>
      <w:proofErr w:type="spellStart"/>
      <w:r w:rsidRPr="00B65293">
        <w:t>tj</w:t>
      </w:r>
      <w:proofErr w:type="spellEnd"/>
      <w:r w:rsidRPr="00B65293">
        <w:t xml:space="preserve"> rozdzielenie opraw od system sterowania I przeprowadzenie tych zakresów w ramach odrębnych postępowań przetargowych a tym samym umów jest niecelowe ze względów użytkowych I funkcjonalnych a zarazem całkowicie nieefektywne kosztowo I ﬁnansowo. W przypadku rozdzielenia tych zakresów, konieczne będzie przeprowadzenie dwukrotnego podjazdu w celu instalacji tj. Raz w celu instalacji opraw a drugi raz w celu instalacji sterowników do system sterowania. Tym samym podwoi to koszty instalacyjne. Dodatkowo Zamawiający pozbawia się do czasu zakupu system I jego wdrożenia znaczących funkcjonalności zarówno użytkowych pod względem monitorowania poprawności działania oświetlenia ale zwłaszcza w zakresie właściwego I efektywnego zarządzania oświetleniem I tym samym zużyciem energii elektrycznej, co przekłada się na brak właściwej efektywności energetycznej całej infrastruktury oświetleniowej. Wnosimy o uwzględnienie w ramach przedmiotowego postępowania również zakresu system sterowania wraz ze sterownikami w tym instalacji</w:t>
      </w:r>
    </w:p>
    <w:p w14:paraId="7D24F67E" w14:textId="77777777" w:rsidR="00DE0009" w:rsidRPr="00B65293" w:rsidRDefault="00DE0009" w:rsidP="00DE0009">
      <w:pPr>
        <w:spacing w:after="0"/>
      </w:pPr>
      <w:r w:rsidRPr="00B65293">
        <w:t>I uruchomienia wraz z przeszkoleniem pracowników Zamawiającego.</w:t>
      </w:r>
    </w:p>
    <w:p w14:paraId="0E113E41" w14:textId="77777777" w:rsidR="00DE0009" w:rsidRPr="00B65293" w:rsidRDefault="00DE0009" w:rsidP="00DE0009">
      <w:pPr>
        <w:spacing w:after="0"/>
      </w:pPr>
      <w:r w:rsidRPr="00B65293">
        <w:t>Uzasadnienie:</w:t>
      </w:r>
    </w:p>
    <w:p w14:paraId="468E0E77" w14:textId="77777777" w:rsidR="00DE0009" w:rsidRPr="00B65293" w:rsidRDefault="00DE0009" w:rsidP="00DE0009">
      <w:pPr>
        <w:spacing w:after="0"/>
      </w:pPr>
      <w:r w:rsidRPr="00B65293">
        <w:t xml:space="preserve">Obecne zapisy SWZ oraz OPZ skutkują faworyzowaniem jednego producenta i uniemożliwiają </w:t>
      </w:r>
    </w:p>
    <w:p w14:paraId="52CDD6AD" w14:textId="77777777" w:rsidR="00DE0009" w:rsidRPr="00B65293" w:rsidRDefault="00DE0009" w:rsidP="00DE0009">
      <w:pPr>
        <w:spacing w:after="0"/>
      </w:pPr>
      <w:r w:rsidRPr="00B65293">
        <w:lastRenderedPageBreak/>
        <w:t>zaoferowanie rynkowo dostępnych rozwiązań spełniających normy i cele przedsięwzięcia. Tym samym naruszona zostaje zasada uczciwej konkurencji oraz grozi to odrzuceniem wielu ofert konkurencyjnych pomimo ich zgodności z celem zamówienia.</w:t>
      </w:r>
    </w:p>
    <w:p w14:paraId="3DB196D2" w14:textId="77777777" w:rsidR="00DE0009" w:rsidRPr="00B65293" w:rsidRDefault="00DE0009" w:rsidP="00DE0009">
      <w:pPr>
        <w:spacing w:after="0"/>
      </w:pPr>
      <w:r w:rsidRPr="00B65293">
        <w:t>W związku z powyższym wnosimy o wyjaśnienie tj. udzielenie odpowiedzi na pytania a następnie o modyﬁkację SWZ w ww. zakresie. Prosimy by Zamawiający w przypadku odmowy uwzględnienia danego wniosku o modyﬁkację udzielił szczegółowego wyjaśnienia w zakresie braku zgody oraz odpowiedział wprost na pytania.</w:t>
      </w:r>
    </w:p>
    <w:p w14:paraId="60F3C650" w14:textId="77777777" w:rsidR="00DE0009" w:rsidRPr="00B65293" w:rsidRDefault="00DE0009" w:rsidP="00DE0009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030BC49B" w14:textId="77777777" w:rsidR="00DE0009" w:rsidRPr="00B65293" w:rsidRDefault="00DE0009" w:rsidP="00DE0009">
      <w:pPr>
        <w:spacing w:after="0"/>
        <w:jc w:val="left"/>
      </w:pPr>
      <w:r w:rsidRPr="00B65293">
        <w:t>Zamawiający informuje, że decyzja o niewprowadzaniu systemu sterowania oprawami w ramach niniejszego postępowania wynika z ograniczeń budżetowych.</w:t>
      </w:r>
    </w:p>
    <w:p w14:paraId="7582241B" w14:textId="77777777" w:rsidR="00DE0009" w:rsidRPr="00B65293" w:rsidRDefault="00DE0009" w:rsidP="00DE0009">
      <w:pPr>
        <w:spacing w:after="0"/>
        <w:jc w:val="left"/>
      </w:pPr>
      <w:r w:rsidRPr="00B65293">
        <w:t>Dla Gminy na obecnym etapie kluczowe znaczenie mają koszty związane z ograniczeniem wydatków na energię elektryczną. Zamawiający ma świadomość, że wdrożenie zaawansowanego systemu sterowania może przynieść dodatkowe oszczędności, jednak największy efekt ekonomiczny w bieżącym etapie zapewnia wymiana istniejącego oświetlenia na nowoczesne, energooszczędne oprawy LED.</w:t>
      </w:r>
    </w:p>
    <w:p w14:paraId="2FB17A45" w14:textId="77777777" w:rsidR="00B65293" w:rsidRPr="00B65293" w:rsidRDefault="00B65293" w:rsidP="00B65293">
      <w:pPr>
        <w:spacing w:after="0"/>
        <w:rPr>
          <w:b/>
          <w:bCs/>
        </w:rPr>
      </w:pPr>
    </w:p>
    <w:p w14:paraId="0FF9F744" w14:textId="5D876EC6" w:rsidR="00B65293" w:rsidRPr="00B65293" w:rsidRDefault="00B65293" w:rsidP="00B65293">
      <w:pPr>
        <w:spacing w:after="0"/>
        <w:rPr>
          <w:b/>
          <w:bCs/>
        </w:rPr>
      </w:pPr>
      <w:r w:rsidRPr="00B65293">
        <w:rPr>
          <w:b/>
          <w:bCs/>
        </w:rPr>
        <w:t>Pytanie 6</w:t>
      </w:r>
    </w:p>
    <w:p w14:paraId="038FA148" w14:textId="77777777" w:rsidR="00B65293" w:rsidRPr="00B65293" w:rsidRDefault="00B65293" w:rsidP="00B65293">
      <w:pPr>
        <w:spacing w:after="0"/>
      </w:pPr>
      <w:r w:rsidRPr="00B65293">
        <w:t xml:space="preserve">Dot. zgodności z </w:t>
      </w:r>
      <w:proofErr w:type="spellStart"/>
      <w:r w:rsidRPr="00B65293">
        <w:t>Pzp</w:t>
      </w:r>
      <w:proofErr w:type="spellEnd"/>
      <w:r w:rsidRPr="00B65293">
        <w:t>:</w:t>
      </w:r>
    </w:p>
    <w:p w14:paraId="382AF5C3" w14:textId="77777777" w:rsidR="00B65293" w:rsidRPr="009740F0" w:rsidRDefault="00B65293" w:rsidP="00B65293">
      <w:pPr>
        <w:spacing w:after="0"/>
      </w:pPr>
      <w:r w:rsidRPr="009740F0">
        <w:t>Prosimy o wyjaśnienie, na jakiej podstawie Zamawiający wymaga, aby wszystkie oprawy (drogowe, parkowe, ozdobne) pochodziły od jednego producenta, skoro są to różne grupy funkcjonalne i wizualne opraw.</w:t>
      </w:r>
    </w:p>
    <w:p w14:paraId="632312EE" w14:textId="77777777" w:rsidR="00B65293" w:rsidRPr="00B65293" w:rsidRDefault="00B65293" w:rsidP="00B65293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539A0D2D" w14:textId="77777777" w:rsidR="00B65293" w:rsidRPr="00B65293" w:rsidRDefault="00B65293" w:rsidP="00B65293">
      <w:pPr>
        <w:spacing w:after="0"/>
      </w:pPr>
      <w:r w:rsidRPr="00B65293">
        <w:t>Zamawiający informuje, że odpowiedź na to pytanie została udzielona w odpowiedzi na pytanie nr 1 oraz w odpowiedziach opublikowanych w dniu 21.07.2025.</w:t>
      </w:r>
    </w:p>
    <w:p w14:paraId="57F85395" w14:textId="77777777" w:rsidR="00B65293" w:rsidRPr="00B65293" w:rsidRDefault="00B65293" w:rsidP="00B65293">
      <w:pPr>
        <w:spacing w:after="0"/>
        <w:rPr>
          <w:b/>
          <w:bCs/>
        </w:rPr>
      </w:pPr>
    </w:p>
    <w:p w14:paraId="6CAB6BF8" w14:textId="77777777" w:rsidR="00B65293" w:rsidRPr="00B65293" w:rsidRDefault="00B65293" w:rsidP="00B65293">
      <w:pPr>
        <w:spacing w:after="0"/>
        <w:rPr>
          <w:b/>
          <w:bCs/>
        </w:rPr>
      </w:pPr>
      <w:r w:rsidRPr="00B65293">
        <w:rPr>
          <w:b/>
          <w:bCs/>
        </w:rPr>
        <w:t>Pytanie 7</w:t>
      </w:r>
    </w:p>
    <w:p w14:paraId="0759F811" w14:textId="77777777" w:rsidR="00B65293" w:rsidRPr="00B65293" w:rsidRDefault="00B65293" w:rsidP="00B65293">
      <w:pPr>
        <w:spacing w:after="0"/>
      </w:pPr>
      <w:r w:rsidRPr="00B65293">
        <w:t>Dot. dostępności rynkowej:</w:t>
      </w:r>
    </w:p>
    <w:p w14:paraId="218E581A" w14:textId="77777777" w:rsidR="00B65293" w:rsidRPr="009740F0" w:rsidRDefault="00B65293" w:rsidP="00B65293">
      <w:pPr>
        <w:spacing w:after="0"/>
      </w:pPr>
      <w:r w:rsidRPr="009740F0">
        <w:t>Prosimy o podanie, który model oprawy dostępny na rynku spełnia wszystkie wymagania OPZ (w tym skuteczność świetlna, barwa zmienna, wymiary), lub o rewizję wymagań w tym zakresie.</w:t>
      </w:r>
    </w:p>
    <w:p w14:paraId="6CD6B290" w14:textId="77777777" w:rsidR="00B65293" w:rsidRPr="00B65293" w:rsidRDefault="00B65293" w:rsidP="00B65293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038D2558" w14:textId="77777777" w:rsidR="00B65293" w:rsidRPr="00B65293" w:rsidRDefault="00B65293" w:rsidP="00B65293">
      <w:pPr>
        <w:spacing w:after="0"/>
        <w:jc w:val="left"/>
      </w:pPr>
      <w:r w:rsidRPr="00B65293">
        <w:t>Zamawiający informuje, że nie może wskazać konkretnych modeli opraw dostępnych na rynku, ponieważ byłoby to sprzeczne z zasadą równego traktowania wykonawców oraz naruszałoby zasady konkurencyjności określone w ustawie Prawo zamówień publicznych. Wykonawca zobowiązany jest do samodzielnej weryfikacji dostępnych na rynku produktów i przedstawienia oferty spełniającej wymagania określone w dokumentacji przetargowej.</w:t>
      </w:r>
    </w:p>
    <w:p w14:paraId="58DE4B27" w14:textId="77777777" w:rsidR="00B65293" w:rsidRPr="00B65293" w:rsidRDefault="00B65293" w:rsidP="00B65293">
      <w:pPr>
        <w:spacing w:after="0"/>
        <w:rPr>
          <w:b/>
          <w:bCs/>
        </w:rPr>
      </w:pPr>
    </w:p>
    <w:p w14:paraId="62F5FB1F" w14:textId="77777777" w:rsidR="00B65293" w:rsidRPr="00B65293" w:rsidRDefault="00B65293" w:rsidP="00B65293">
      <w:pPr>
        <w:spacing w:after="0"/>
        <w:rPr>
          <w:b/>
          <w:bCs/>
        </w:rPr>
      </w:pPr>
      <w:r w:rsidRPr="00B65293">
        <w:rPr>
          <w:b/>
          <w:bCs/>
        </w:rPr>
        <w:t>Pytanie 8</w:t>
      </w:r>
    </w:p>
    <w:p w14:paraId="11AFB9F1" w14:textId="77777777" w:rsidR="00B65293" w:rsidRPr="00B65293" w:rsidRDefault="00B65293" w:rsidP="00B65293">
      <w:pPr>
        <w:spacing w:after="0"/>
      </w:pPr>
      <w:r w:rsidRPr="00B65293">
        <w:t>Dot. preferencji dla konkretnego producenta:</w:t>
      </w:r>
    </w:p>
    <w:p w14:paraId="1D7D18B0" w14:textId="77777777" w:rsidR="00B65293" w:rsidRPr="009740F0" w:rsidRDefault="00B65293" w:rsidP="00B65293">
      <w:pPr>
        <w:spacing w:after="0"/>
      </w:pPr>
      <w:r w:rsidRPr="009740F0">
        <w:t>Czy Zamawiający potwierdza, że wizualizacje i rzuty opraw w OPZ mają charakter wyłącznie poglądowy i nie odnoszą się do produktów firmy LUG?</w:t>
      </w:r>
    </w:p>
    <w:p w14:paraId="6328CC03" w14:textId="77777777" w:rsidR="00B65293" w:rsidRPr="00B65293" w:rsidRDefault="00B65293" w:rsidP="00B65293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2F277225" w14:textId="77777777" w:rsidR="00B65293" w:rsidRPr="00B65293" w:rsidRDefault="00B65293" w:rsidP="00B65293">
      <w:pPr>
        <w:spacing w:after="0"/>
        <w:jc w:val="left"/>
      </w:pPr>
      <w:r w:rsidRPr="00B65293">
        <w:t>Zamawiający potwierdza, że wizualizacje i rzuty opraw zamieszczone w OPZ mają charakter poglądowy i nie odnoszą się do produktów konkretnego producenta. Ich celem jest zobrazowanie oczekiwanej formy, proporcji i charakteru estetycznego opraw, przy zachowaniu możliwości zaoferowania rozwiązań równoważnych zgodnych z wymaganiami SWZ.</w:t>
      </w:r>
    </w:p>
    <w:p w14:paraId="1752D43A" w14:textId="77777777" w:rsidR="00B65293" w:rsidRPr="00B65293" w:rsidRDefault="00B65293" w:rsidP="00B65293">
      <w:pPr>
        <w:spacing w:after="0"/>
        <w:rPr>
          <w:b/>
          <w:bCs/>
        </w:rPr>
      </w:pPr>
    </w:p>
    <w:p w14:paraId="5FA4864A" w14:textId="77777777" w:rsidR="00B65293" w:rsidRPr="00B65293" w:rsidRDefault="00B65293" w:rsidP="00B65293">
      <w:pPr>
        <w:spacing w:after="0"/>
        <w:rPr>
          <w:b/>
          <w:bCs/>
        </w:rPr>
      </w:pPr>
      <w:r w:rsidRPr="00B65293">
        <w:rPr>
          <w:b/>
          <w:bCs/>
        </w:rPr>
        <w:lastRenderedPageBreak/>
        <w:t>Pytanie 9</w:t>
      </w:r>
    </w:p>
    <w:p w14:paraId="45C0C130" w14:textId="77777777" w:rsidR="00B65293" w:rsidRPr="00B65293" w:rsidRDefault="00B65293" w:rsidP="00B65293">
      <w:pPr>
        <w:spacing w:after="0"/>
      </w:pPr>
      <w:r w:rsidRPr="00B65293">
        <w:t>Dot. dopuszczenia różnych producentów:</w:t>
      </w:r>
    </w:p>
    <w:p w14:paraId="0EC03564" w14:textId="77777777" w:rsidR="00B65293" w:rsidRPr="009740F0" w:rsidRDefault="00B65293" w:rsidP="00B65293">
      <w:pPr>
        <w:spacing w:after="0"/>
      </w:pPr>
      <w:r w:rsidRPr="009740F0">
        <w:t>Czy Zamawiający dopuszcza, aby każda z grup opraw (TYP1, TYP2, ozdobna nasadzana, ozdobna zwieszana) pochodziła od innego producenta, przy zachowaniu jednorodności estetycznej i funkcjonalnej w ramach grupy?</w:t>
      </w:r>
    </w:p>
    <w:p w14:paraId="7ECD06D4" w14:textId="77777777" w:rsidR="00B65293" w:rsidRPr="00B65293" w:rsidRDefault="00B65293" w:rsidP="00B65293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1A8BFA7D" w14:textId="77777777" w:rsidR="00B65293" w:rsidRPr="00B65293" w:rsidRDefault="00B65293" w:rsidP="00B65293">
      <w:pPr>
        <w:spacing w:after="0"/>
      </w:pPr>
      <w:r w:rsidRPr="00B65293">
        <w:t>Zamawiający informuje, że odpowiedź na to pytanie została udzielona w odpowiedzi na pytanie nr 1 powyżej oraz w odpowiedziach opublikowanych w dniu 21.07.2025.</w:t>
      </w:r>
    </w:p>
    <w:p w14:paraId="0715507A" w14:textId="77777777" w:rsidR="00B65293" w:rsidRPr="00B65293" w:rsidRDefault="00B65293" w:rsidP="00B65293">
      <w:pPr>
        <w:spacing w:after="0"/>
        <w:rPr>
          <w:b/>
          <w:bCs/>
        </w:rPr>
      </w:pPr>
    </w:p>
    <w:p w14:paraId="57BCFB3C" w14:textId="77777777" w:rsidR="00B65293" w:rsidRPr="00B65293" w:rsidRDefault="00B65293" w:rsidP="00B65293">
      <w:pPr>
        <w:spacing w:after="0"/>
        <w:rPr>
          <w:b/>
          <w:bCs/>
        </w:rPr>
      </w:pPr>
      <w:r w:rsidRPr="00B65293">
        <w:rPr>
          <w:b/>
          <w:bCs/>
        </w:rPr>
        <w:t>Pytanie 10</w:t>
      </w:r>
    </w:p>
    <w:p w14:paraId="07FF1F5E" w14:textId="77777777" w:rsidR="00B65293" w:rsidRPr="00B65293" w:rsidRDefault="00B65293" w:rsidP="00B65293">
      <w:pPr>
        <w:spacing w:after="0"/>
      </w:pPr>
      <w:r w:rsidRPr="00B65293">
        <w:t>Dot. niespójności wymagań technicznych:</w:t>
      </w:r>
    </w:p>
    <w:p w14:paraId="61630235" w14:textId="77777777" w:rsidR="00B65293" w:rsidRPr="00B65293" w:rsidRDefault="00B65293" w:rsidP="00B65293">
      <w:pPr>
        <w:spacing w:after="0"/>
      </w:pPr>
      <w:r w:rsidRPr="009740F0">
        <w:t>Prosimy o wyjaśnienie, jak Zamawiający zamierza egzekwować jednoczesne spełnienie wymagań skuteczności ≥140 lm/W, ograniczeń mocy oraz zgodności z PN-EN 13201, które są wzajemnie wykluczające.</w:t>
      </w:r>
    </w:p>
    <w:p w14:paraId="2E5899C6" w14:textId="77777777" w:rsidR="00B65293" w:rsidRPr="00B65293" w:rsidRDefault="00B65293" w:rsidP="00B65293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181017B3" w14:textId="77777777" w:rsidR="00B65293" w:rsidRPr="00B65293" w:rsidRDefault="00B65293" w:rsidP="00B65293">
      <w:pPr>
        <w:spacing w:after="0"/>
        <w:jc w:val="left"/>
      </w:pPr>
      <w:r w:rsidRPr="00B65293">
        <w:t>Zamawiający informuje, że odpowiedź na to pytanie została udzielona w odpowiedzi na pytanie nr 2 powyżej.</w:t>
      </w:r>
    </w:p>
    <w:p w14:paraId="3C69EE8B" w14:textId="77777777" w:rsidR="00B65293" w:rsidRPr="00B65293" w:rsidRDefault="00B65293" w:rsidP="00B65293">
      <w:pPr>
        <w:spacing w:after="0"/>
        <w:jc w:val="left"/>
        <w:rPr>
          <w:b/>
          <w:bCs/>
        </w:rPr>
      </w:pPr>
    </w:p>
    <w:p w14:paraId="46F10D08" w14:textId="77777777" w:rsidR="00B65293" w:rsidRPr="00B65293" w:rsidRDefault="00B65293" w:rsidP="00B65293">
      <w:pPr>
        <w:spacing w:after="0"/>
        <w:rPr>
          <w:b/>
          <w:bCs/>
        </w:rPr>
      </w:pPr>
      <w:r w:rsidRPr="00B65293">
        <w:rPr>
          <w:b/>
          <w:bCs/>
        </w:rPr>
        <w:t>Pytanie 11</w:t>
      </w:r>
    </w:p>
    <w:p w14:paraId="288DD123" w14:textId="77777777" w:rsidR="00B65293" w:rsidRPr="00B65293" w:rsidRDefault="00B65293" w:rsidP="00B65293">
      <w:pPr>
        <w:spacing w:after="0"/>
      </w:pPr>
      <w:r w:rsidRPr="00B65293">
        <w:t>Dot. tolerancji wymiarowej:</w:t>
      </w:r>
    </w:p>
    <w:p w14:paraId="639CEE66" w14:textId="77777777" w:rsidR="00B65293" w:rsidRPr="009740F0" w:rsidRDefault="00B65293" w:rsidP="00B65293">
      <w:pPr>
        <w:spacing w:after="0"/>
      </w:pPr>
      <w:r w:rsidRPr="009740F0">
        <w:t>Czy Zamawiający planuje zmianę sposobu określania wymiarów opraw na mniej restrykcyjny – orientacyjny – zgodnie z podejściem umożliwiającym udział szerszego grona producentów?</w:t>
      </w:r>
    </w:p>
    <w:p w14:paraId="1672B239" w14:textId="77777777" w:rsidR="00B65293" w:rsidRPr="00B65293" w:rsidRDefault="00B65293" w:rsidP="00B65293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492BEF27" w14:textId="77777777" w:rsidR="00B65293" w:rsidRPr="00B65293" w:rsidRDefault="00B65293" w:rsidP="00B65293">
      <w:pPr>
        <w:spacing w:after="0"/>
        <w:jc w:val="left"/>
      </w:pPr>
      <w:r w:rsidRPr="00B65293">
        <w:t>Zamawiający informuje, że odpowiedź na to pytanie została udzielona w odpowiedzi na pytanie nr 3 powyżej oraz w odpowiedziach opublikowanych w dniu 21.07.2025.</w:t>
      </w:r>
    </w:p>
    <w:p w14:paraId="358278B8" w14:textId="77777777" w:rsidR="00B65293" w:rsidRPr="00B65293" w:rsidRDefault="00B65293" w:rsidP="00B65293">
      <w:pPr>
        <w:spacing w:after="0"/>
        <w:jc w:val="left"/>
        <w:rPr>
          <w:b/>
          <w:bCs/>
        </w:rPr>
      </w:pPr>
    </w:p>
    <w:p w14:paraId="56E39F60" w14:textId="77777777" w:rsidR="00B65293" w:rsidRPr="00B65293" w:rsidRDefault="00B65293" w:rsidP="00B65293">
      <w:pPr>
        <w:spacing w:after="0"/>
        <w:rPr>
          <w:b/>
          <w:bCs/>
        </w:rPr>
      </w:pPr>
      <w:r w:rsidRPr="00B65293">
        <w:rPr>
          <w:b/>
          <w:bCs/>
        </w:rPr>
        <w:t>Pytanie 12</w:t>
      </w:r>
    </w:p>
    <w:p w14:paraId="75660362" w14:textId="77777777" w:rsidR="00B65293" w:rsidRPr="00B65293" w:rsidRDefault="00B65293" w:rsidP="00B65293">
      <w:pPr>
        <w:spacing w:after="0"/>
      </w:pPr>
      <w:r w:rsidRPr="009740F0">
        <w:t>Dotyczy wymaganej zgodności z obliczeniami fotometrycznymi referencyjnymi Zamawiającego. Prosimy o złagodzenie wymagań w zakresie wymagania zgodności obliczeń fotometrycznych oferowanych opraw uzyskanymi parametrami w ramach obliczeń referencyjnych Zamawiającego. Zamawiający wskazał obliczenia referencyjne, które zostały sporządzone na podstawie opraw i parametrów świetlnych konkretnych opraw danego producenta. osiągnięcie analogicznych parametrów przy zastosowaniu opraw innego producenta nie pozwoli uzyskać identycznych parametrów, bowiem właściwości opraw każdego producenta są specyficzne i indywidualne dla danego produktu.</w:t>
      </w:r>
    </w:p>
    <w:p w14:paraId="659CBAD0" w14:textId="77777777" w:rsidR="00B65293" w:rsidRPr="00B65293" w:rsidRDefault="00B65293" w:rsidP="00B65293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48B7B346" w14:textId="77777777" w:rsidR="00B65293" w:rsidRPr="00B65293" w:rsidRDefault="00B65293" w:rsidP="00B65293">
      <w:pPr>
        <w:spacing w:after="0"/>
        <w:jc w:val="left"/>
      </w:pPr>
      <w:r w:rsidRPr="00B65293">
        <w:t>Zamawiający informuje, że odpowiedź na to pytanie została udzielona w odpowiedzi na pytanie nr 2 powyżej oraz w odpowiedziach opublikowanych w dniu 23.07.2025 (pytanie 10,11 i 12).</w:t>
      </w:r>
    </w:p>
    <w:p w14:paraId="4A656BFB" w14:textId="77777777" w:rsidR="00B65293" w:rsidRPr="00B65293" w:rsidRDefault="00B65293" w:rsidP="00B65293">
      <w:pPr>
        <w:spacing w:after="0"/>
        <w:jc w:val="left"/>
        <w:rPr>
          <w:b/>
          <w:bCs/>
          <w:color w:val="1F497D" w:themeColor="text2"/>
        </w:rPr>
      </w:pPr>
    </w:p>
    <w:p w14:paraId="2FEC5713" w14:textId="77777777" w:rsidR="00B65293" w:rsidRPr="00B65293" w:rsidRDefault="00B65293" w:rsidP="00B65293">
      <w:pPr>
        <w:spacing w:after="0"/>
        <w:rPr>
          <w:b/>
          <w:bCs/>
        </w:rPr>
      </w:pPr>
      <w:r w:rsidRPr="00B65293">
        <w:rPr>
          <w:b/>
          <w:bCs/>
        </w:rPr>
        <w:t>Pytanie 13</w:t>
      </w:r>
    </w:p>
    <w:p w14:paraId="18D5340B" w14:textId="77777777" w:rsidR="00B65293" w:rsidRPr="009740F0" w:rsidRDefault="00B65293" w:rsidP="00B65293">
      <w:pPr>
        <w:spacing w:after="0"/>
      </w:pPr>
      <w:r w:rsidRPr="009740F0">
        <w:t>Dotyczy obliczeń referencyjnych. Prosimy o wskazanie, na podstawie jakich opraw model  i którego z producentów zostały wykonane obliczenia referencyjne dla poszczególnych typów opraw?</w:t>
      </w:r>
    </w:p>
    <w:p w14:paraId="463A500E" w14:textId="77777777" w:rsidR="00B65293" w:rsidRPr="00B65293" w:rsidRDefault="00B65293" w:rsidP="00B65293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461DFC8E" w14:textId="64613509" w:rsidR="00B65293" w:rsidRPr="00B65293" w:rsidRDefault="00B65293" w:rsidP="00B65293">
      <w:pPr>
        <w:spacing w:after="0"/>
      </w:pPr>
      <w:r w:rsidRPr="00B65293">
        <w:t xml:space="preserve">Zamawiający informuje, że nie może udzielić informacji, na podstawie jakich konkretnych modeli i którego producenta zostały wykonane obliczenia referencyjne, ponieważ dane te mają </w:t>
      </w:r>
      <w:r w:rsidRPr="00B65293">
        <w:lastRenderedPageBreak/>
        <w:t>charakter pomocniczy, a postępowanie ma charakter otwarty i konkurencyjny. Wszyscy Wykonawcy mają obowiązek przedłożyć własne obliczenia fotometryczne zgodne z wymaganiami określonymi w SWZ i OPZ.</w:t>
      </w:r>
    </w:p>
    <w:p w14:paraId="076EBAC4" w14:textId="77777777" w:rsidR="00B65293" w:rsidRPr="009740F0" w:rsidRDefault="00B65293" w:rsidP="00B65293">
      <w:pPr>
        <w:spacing w:after="0"/>
      </w:pPr>
    </w:p>
    <w:p w14:paraId="3DFFA940" w14:textId="77777777" w:rsidR="00B65293" w:rsidRPr="00B65293" w:rsidRDefault="00B65293" w:rsidP="00B65293">
      <w:pPr>
        <w:spacing w:after="0"/>
        <w:rPr>
          <w:b/>
          <w:bCs/>
        </w:rPr>
      </w:pPr>
      <w:r w:rsidRPr="00B65293">
        <w:rPr>
          <w:b/>
          <w:bCs/>
        </w:rPr>
        <w:t>Pytanie 14</w:t>
      </w:r>
    </w:p>
    <w:p w14:paraId="140CD0FF" w14:textId="77777777" w:rsidR="00B65293" w:rsidRPr="00B65293" w:rsidRDefault="00B65293" w:rsidP="00B65293">
      <w:pPr>
        <w:spacing w:after="160" w:line="259" w:lineRule="auto"/>
        <w:contextualSpacing/>
        <w:jc w:val="left"/>
      </w:pPr>
      <w:r w:rsidRPr="00B65293">
        <w:t>Czy zamawiający wymaga aby miejscem montażu kompensacji mocy biernej pojemnościowej/indukcyjnej były jedynie szafy SO w ilości 111 kompletów tyle samo co szaf przewidzianych do wymiany.</w:t>
      </w:r>
    </w:p>
    <w:p w14:paraId="4ABA8AD2" w14:textId="77777777" w:rsidR="00B65293" w:rsidRPr="00B65293" w:rsidRDefault="00B65293" w:rsidP="00B65293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716C7F5D" w14:textId="77777777" w:rsidR="00B65293" w:rsidRPr="00BC1671" w:rsidRDefault="00B65293" w:rsidP="00B65293">
      <w:pPr>
        <w:spacing w:after="0"/>
      </w:pPr>
      <w:r w:rsidRPr="00BC1671">
        <w:t>Zamawiający informuje, że zgodnie z wcześniejszymi odpowiedziami (m.in. pytanie nr 17 z dokumentu z dnia 21.07.2025 r.) układy kompensacji mocy biernej należy montować tam, gdzie wynika to z analizy i pomiarów parametrów mocy biernej, a nie sztywno we wszystkich szafach przewidzianych do modernizacji.</w:t>
      </w:r>
    </w:p>
    <w:p w14:paraId="6A5F1442" w14:textId="77777777" w:rsidR="00B65293" w:rsidRPr="00BC1671" w:rsidRDefault="00B65293" w:rsidP="00B65293">
      <w:pPr>
        <w:spacing w:after="0"/>
      </w:pPr>
      <w:r w:rsidRPr="00BC1671">
        <w:t>W dokumentacji projektowej przewidziano 111 szaf SO, jednak ostateczna lokalizacja i liczba urządzeń kompensacyjnych (pojemnościowych i/lub indukcyjnych) będzie wynikać z projektu wykonawczego, opracowanego na podstawie rzeczywistych pomiarów.</w:t>
      </w:r>
    </w:p>
    <w:p w14:paraId="5C992362" w14:textId="77777777" w:rsidR="00B65293" w:rsidRPr="00BC1671" w:rsidRDefault="00B65293" w:rsidP="00B65293">
      <w:pPr>
        <w:spacing w:after="0"/>
      </w:pPr>
      <w:r w:rsidRPr="00BC1671">
        <w:t>Wykonawca zobowiązany jest do doboru i montażu układów kompensacyjnych tam, gdzie będzie to konieczne w celu uniknięcia opłat za moc bierną – zgodnie z wymaganiami określonymi w OPZ.</w:t>
      </w:r>
    </w:p>
    <w:p w14:paraId="79EF46A8" w14:textId="77777777" w:rsidR="00B65293" w:rsidRPr="00B65293" w:rsidRDefault="00B65293" w:rsidP="00B65293">
      <w:pPr>
        <w:spacing w:after="0"/>
        <w:rPr>
          <w:b/>
          <w:bCs/>
        </w:rPr>
      </w:pPr>
    </w:p>
    <w:p w14:paraId="6B7695FC" w14:textId="77777777" w:rsidR="00B65293" w:rsidRPr="00B65293" w:rsidRDefault="00B65293" w:rsidP="00B65293">
      <w:pPr>
        <w:spacing w:after="0"/>
        <w:rPr>
          <w:b/>
          <w:bCs/>
        </w:rPr>
      </w:pPr>
      <w:r w:rsidRPr="00B65293">
        <w:rPr>
          <w:b/>
          <w:bCs/>
        </w:rPr>
        <w:t>Pytanie 15</w:t>
      </w:r>
    </w:p>
    <w:p w14:paraId="3F64E799" w14:textId="77777777" w:rsidR="00B65293" w:rsidRPr="00B65293" w:rsidRDefault="00B65293" w:rsidP="00B65293">
      <w:pPr>
        <w:spacing w:after="160" w:line="259" w:lineRule="auto"/>
        <w:contextualSpacing/>
        <w:jc w:val="left"/>
      </w:pPr>
      <w:r w:rsidRPr="00B65293">
        <w:t>Czy zamawiający dopuszcza montaż kompensacji mocy biernej w oprawach lub wnękach słupowych?</w:t>
      </w:r>
    </w:p>
    <w:p w14:paraId="1D15A696" w14:textId="77777777" w:rsidR="00B65293" w:rsidRPr="00B65293" w:rsidRDefault="00B65293" w:rsidP="00B65293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62A47F57" w14:textId="77777777" w:rsidR="00B65293" w:rsidRPr="00B65293" w:rsidRDefault="00B65293" w:rsidP="00B65293">
      <w:pPr>
        <w:spacing w:after="160" w:line="259" w:lineRule="auto"/>
        <w:contextualSpacing/>
        <w:jc w:val="left"/>
      </w:pPr>
      <w:r w:rsidRPr="00B65293">
        <w:t xml:space="preserve">Zamawiający nie dopuszcza takiego rozwiązania. </w:t>
      </w:r>
    </w:p>
    <w:p w14:paraId="5BB604F2" w14:textId="77777777" w:rsidR="00B65293" w:rsidRPr="00B65293" w:rsidRDefault="00B65293" w:rsidP="00B65293">
      <w:pPr>
        <w:spacing w:after="0"/>
        <w:rPr>
          <w:b/>
          <w:bCs/>
        </w:rPr>
      </w:pPr>
    </w:p>
    <w:p w14:paraId="70E897AB" w14:textId="13D7304D" w:rsidR="00B65293" w:rsidRPr="00B65293" w:rsidRDefault="00B65293" w:rsidP="00B65293">
      <w:pPr>
        <w:spacing w:after="0"/>
        <w:rPr>
          <w:b/>
          <w:bCs/>
        </w:rPr>
      </w:pPr>
      <w:r w:rsidRPr="00B65293">
        <w:rPr>
          <w:b/>
          <w:bCs/>
        </w:rPr>
        <w:t>Pytanie 1</w:t>
      </w:r>
      <w:r>
        <w:rPr>
          <w:b/>
          <w:bCs/>
        </w:rPr>
        <w:t>6</w:t>
      </w:r>
    </w:p>
    <w:p w14:paraId="260F8092" w14:textId="77777777" w:rsidR="00B65293" w:rsidRPr="00B65293" w:rsidRDefault="00B65293" w:rsidP="00B65293">
      <w:pPr>
        <w:spacing w:after="160" w:line="259" w:lineRule="auto"/>
        <w:contextualSpacing/>
        <w:jc w:val="left"/>
      </w:pPr>
      <w:r w:rsidRPr="00B65293">
        <w:t>Czy zamawiający wymaga 120 miesięcznej pisemnej gwarancji producenta kompensacji mocy biernej?</w:t>
      </w:r>
    </w:p>
    <w:p w14:paraId="3BC427D9" w14:textId="77777777" w:rsidR="00B65293" w:rsidRPr="00B65293" w:rsidRDefault="00B65293" w:rsidP="00B65293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6F397C42" w14:textId="7B6BA751" w:rsidR="00B65293" w:rsidRPr="00B65293" w:rsidRDefault="00B65293" w:rsidP="00B65293">
      <w:pPr>
        <w:spacing w:after="0"/>
        <w:jc w:val="left"/>
      </w:pPr>
      <w:r w:rsidRPr="00B65293">
        <w:t>Zamawiający informuje, że w przypadku kompensatorów mocy biernej wymagana jest standardowa gwarancja producenta, tj. 24 miesiące.</w:t>
      </w:r>
    </w:p>
    <w:p w14:paraId="0B60D44F" w14:textId="77777777" w:rsidR="00B65293" w:rsidRPr="00B65293" w:rsidRDefault="00B65293" w:rsidP="00B65293">
      <w:pPr>
        <w:spacing w:after="0"/>
        <w:rPr>
          <w:b/>
          <w:bCs/>
        </w:rPr>
      </w:pPr>
    </w:p>
    <w:p w14:paraId="1CBD9692" w14:textId="4DE06C24" w:rsidR="00B65293" w:rsidRPr="00B65293" w:rsidRDefault="00B65293" w:rsidP="00B65293">
      <w:pPr>
        <w:spacing w:after="0"/>
        <w:rPr>
          <w:b/>
          <w:bCs/>
        </w:rPr>
      </w:pPr>
      <w:r w:rsidRPr="00B65293">
        <w:rPr>
          <w:b/>
          <w:bCs/>
        </w:rPr>
        <w:t>Pytanie 1</w:t>
      </w:r>
      <w:r>
        <w:rPr>
          <w:b/>
          <w:bCs/>
        </w:rPr>
        <w:t>7</w:t>
      </w:r>
    </w:p>
    <w:p w14:paraId="30461789" w14:textId="77777777" w:rsidR="00B65293" w:rsidRPr="00B65293" w:rsidRDefault="00B65293" w:rsidP="00B65293">
      <w:pPr>
        <w:spacing w:after="160" w:line="259" w:lineRule="auto"/>
        <w:contextualSpacing/>
        <w:jc w:val="left"/>
      </w:pPr>
      <w:r w:rsidRPr="00B65293">
        <w:t>Czy zamawiający dla potwierdzenia parametrów elektrycznych oraz trwałości urządzenia do kompensacji mocy biernej będzie wymagał przedstawienia aktualnych na dzień składania oferty raportu z badań EMC wystawionego przez laboratorium akredytowanego przez Polskie Centrum Akredytacji (PCA)? Taki dokument potwierdzi produkty dopuszczone do obrotu na ternie unii europejskiej oraz potwierdzi spełnianie norm elektrycznych.</w:t>
      </w:r>
    </w:p>
    <w:p w14:paraId="0C01BAF7" w14:textId="77777777" w:rsidR="00B65293" w:rsidRPr="00B65293" w:rsidRDefault="00B65293" w:rsidP="00B65293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396E4131" w14:textId="77777777" w:rsidR="00B65293" w:rsidRPr="00B65293" w:rsidRDefault="00B65293" w:rsidP="00B65293">
      <w:pPr>
        <w:spacing w:after="0"/>
      </w:pPr>
      <w:r w:rsidRPr="00B65293">
        <w:t>Taki dokument będzie wymagany na etapie doboru konkretnego urządzenia, tj. na etapie uzgadniania Projektu Wykonawczego szaf oświetleniowych (SO).</w:t>
      </w:r>
    </w:p>
    <w:p w14:paraId="55C7B5C3" w14:textId="77777777" w:rsidR="00B65293" w:rsidRPr="00B65293" w:rsidRDefault="00B65293" w:rsidP="00B65293">
      <w:pPr>
        <w:spacing w:after="0"/>
        <w:rPr>
          <w:b/>
          <w:bCs/>
        </w:rPr>
      </w:pPr>
    </w:p>
    <w:p w14:paraId="6994E62F" w14:textId="0D51ADEE" w:rsidR="00B65293" w:rsidRPr="00B65293" w:rsidRDefault="00B65293" w:rsidP="00B65293">
      <w:pPr>
        <w:spacing w:after="0"/>
        <w:rPr>
          <w:b/>
          <w:bCs/>
        </w:rPr>
      </w:pPr>
      <w:r w:rsidRPr="00B65293">
        <w:rPr>
          <w:b/>
          <w:bCs/>
        </w:rPr>
        <w:t>Pytanie 1</w:t>
      </w:r>
      <w:r>
        <w:rPr>
          <w:b/>
          <w:bCs/>
        </w:rPr>
        <w:t>8</w:t>
      </w:r>
    </w:p>
    <w:p w14:paraId="104F8BF1" w14:textId="77777777" w:rsidR="00B65293" w:rsidRPr="00B65293" w:rsidRDefault="00B65293" w:rsidP="00B65293">
      <w:pPr>
        <w:spacing w:after="160" w:line="259" w:lineRule="auto"/>
        <w:contextualSpacing/>
        <w:jc w:val="left"/>
      </w:pPr>
      <w:r w:rsidRPr="00B65293">
        <w:t>Czy zamawiający będzie wymagał aby gwarancję oraz opłaty za dostęp do sytemu sterowania/monitoringu szaf SO były zapewnione przez producenta na okres 120 miesięcy?</w:t>
      </w:r>
    </w:p>
    <w:p w14:paraId="56B8617C" w14:textId="77777777" w:rsidR="00B65293" w:rsidRPr="00B65293" w:rsidRDefault="00B65293" w:rsidP="00B65293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7A80B014" w14:textId="77777777" w:rsidR="00B65293" w:rsidRPr="00F207A9" w:rsidRDefault="00B65293" w:rsidP="00B65293">
      <w:pPr>
        <w:spacing w:after="0"/>
        <w:jc w:val="left"/>
      </w:pPr>
      <w:r w:rsidRPr="00F207A9">
        <w:lastRenderedPageBreak/>
        <w:t>W zakresie przedmiotowego zadania nie przewidziano realizacji</w:t>
      </w:r>
      <w:r w:rsidRPr="00B65293">
        <w:t xml:space="preserve"> nowego</w:t>
      </w:r>
      <w:r w:rsidRPr="00F207A9">
        <w:t xml:space="preserve"> systemu sterowania</w:t>
      </w:r>
      <w:r w:rsidRPr="00B65293">
        <w:t>.</w:t>
      </w:r>
      <w:r w:rsidRPr="00F207A9">
        <w:t xml:space="preserve"> Przedmiotem zamówienia jest modernizacja istniejących rozdzielnic oświetleniowych, w tym ich doposażenie lub wymiana</w:t>
      </w:r>
      <w:r w:rsidRPr="00B65293">
        <w:t xml:space="preserve"> SO. W</w:t>
      </w:r>
      <w:r w:rsidRPr="00F207A9">
        <w:t xml:space="preserve"> przypadku stwierdzenia niesprawności elementów takich jak zegary, należy je wymienić. W związku z powyższym, wymóg gwarancji i opłat za dostęp do systemu sterowania nie ma zastosowania.</w:t>
      </w:r>
    </w:p>
    <w:p w14:paraId="35EFEDE5" w14:textId="77777777" w:rsidR="00B65293" w:rsidRPr="00F207A9" w:rsidRDefault="00B65293" w:rsidP="00B65293">
      <w:pPr>
        <w:spacing w:after="0"/>
        <w:jc w:val="left"/>
      </w:pPr>
      <w:r w:rsidRPr="00F207A9">
        <w:t>Gwarancja, o której mowa w dokumentacji, dotyczy wyłącznie nowych urządzeń i komponentów dostarczonych i zabudowanych przez Wykonawcę w ramach realizacji zadania.</w:t>
      </w:r>
    </w:p>
    <w:p w14:paraId="50864321" w14:textId="77777777" w:rsidR="00B65293" w:rsidRPr="00B65293" w:rsidRDefault="00B65293" w:rsidP="00B65293">
      <w:pPr>
        <w:spacing w:after="0"/>
      </w:pPr>
    </w:p>
    <w:p w14:paraId="49CA3A21" w14:textId="06872C4D" w:rsidR="00B65293" w:rsidRPr="00B65293" w:rsidRDefault="00B65293" w:rsidP="00B65293">
      <w:pPr>
        <w:spacing w:after="0"/>
        <w:rPr>
          <w:b/>
          <w:bCs/>
        </w:rPr>
      </w:pPr>
      <w:r w:rsidRPr="00B65293">
        <w:rPr>
          <w:b/>
          <w:bCs/>
        </w:rPr>
        <w:t xml:space="preserve">Pytanie </w:t>
      </w:r>
      <w:r>
        <w:rPr>
          <w:b/>
          <w:bCs/>
        </w:rPr>
        <w:t>19</w:t>
      </w:r>
    </w:p>
    <w:p w14:paraId="6E24E877" w14:textId="77777777" w:rsidR="00B65293" w:rsidRPr="00B65293" w:rsidRDefault="00B65293" w:rsidP="00B65293">
      <w:pPr>
        <w:spacing w:after="160" w:line="259" w:lineRule="auto"/>
        <w:contextualSpacing/>
        <w:jc w:val="left"/>
      </w:pPr>
      <w:r w:rsidRPr="00B65293">
        <w:t xml:space="preserve">Proszę o udostępnienie kompletnego pliku </w:t>
      </w:r>
      <w:proofErr w:type="spellStart"/>
      <w:r w:rsidRPr="00B65293">
        <w:t>Zal</w:t>
      </w:r>
      <w:proofErr w:type="spellEnd"/>
      <w:r w:rsidRPr="00B65293">
        <w:t xml:space="preserve">. nr 1 do </w:t>
      </w:r>
      <w:proofErr w:type="spellStart"/>
      <w:r w:rsidRPr="00B65293">
        <w:t>OPZ_Wzór</w:t>
      </w:r>
      <w:proofErr w:type="spellEnd"/>
      <w:r w:rsidRPr="00B65293">
        <w:t xml:space="preserve"> Tabeli - bilans mocy dla SO.xlsx  który został udostępniony do załącznika nr 6 OPZ. Plik zawiera tylko spis arkuszy z szafami  w ilości 127 szt. SO natomiast szczegółowe dane są udostępnione dla szaf SO nr 1,5,94. Kompletny plik z lokalizacjami oraz wyposażeniem potrzebny jest do szczegółowego przygotowania oferty.</w:t>
      </w:r>
    </w:p>
    <w:p w14:paraId="18F70D53" w14:textId="77777777" w:rsidR="00B65293" w:rsidRPr="00B65293" w:rsidRDefault="00B65293" w:rsidP="00B65293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58C6F8CD" w14:textId="77777777" w:rsidR="00B65293" w:rsidRPr="001C75FA" w:rsidRDefault="00B65293" w:rsidP="00B65293">
      <w:pPr>
        <w:spacing w:after="160" w:line="259" w:lineRule="auto"/>
        <w:contextualSpacing/>
        <w:jc w:val="left"/>
      </w:pPr>
      <w:r w:rsidRPr="001C75FA">
        <w:t>Załącznik nr 1 do OPZ „Wzór Tabeli – bilans mocy dla SO” stanowi jedynie wzór do uzupełnienia przez projektanta na etapie opracowywania Projektu Wykonawczego.</w:t>
      </w:r>
    </w:p>
    <w:p w14:paraId="6443AD88" w14:textId="77777777" w:rsidR="00B65293" w:rsidRPr="001C75FA" w:rsidRDefault="00B65293" w:rsidP="00B65293">
      <w:pPr>
        <w:spacing w:after="160" w:line="259" w:lineRule="auto"/>
        <w:contextualSpacing/>
        <w:jc w:val="left"/>
      </w:pPr>
      <w:r w:rsidRPr="001C75FA">
        <w:t>W celu przygotowania oferty Zamawiający udostępnił materiał inwentaryzacyjny w Załączniku nr 7 – Dokumentacja Projektowa, dostępnym pod linkiem:</w:t>
      </w:r>
      <w:r w:rsidRPr="001C75FA">
        <w:br/>
      </w:r>
      <w:hyperlink r:id="rId8" w:tgtFrame="_new" w:history="1">
        <w:r w:rsidRPr="001C75FA">
          <w:rPr>
            <w:rStyle w:val="Hipercze"/>
            <w:color w:val="auto"/>
          </w:rPr>
          <w:t>https://chmura.raszyn.pl/dysk/d/s/145Q1s2DsCULGO63Dar8jkeB8t0AGewm/h5GTxGyq14w6dvQEuntIL7gDUwBDN9qP-ArSgesZeagw</w:t>
        </w:r>
      </w:hyperlink>
    </w:p>
    <w:p w14:paraId="13652B2D" w14:textId="77777777" w:rsidR="00B65293" w:rsidRPr="001C75FA" w:rsidRDefault="00B65293" w:rsidP="00B65293">
      <w:pPr>
        <w:spacing w:after="160" w:line="259" w:lineRule="auto"/>
        <w:contextualSpacing/>
        <w:jc w:val="left"/>
      </w:pPr>
      <w:r w:rsidRPr="001C75FA">
        <w:t>W ww. lokalizacji znajdują się m.in.:</w:t>
      </w:r>
    </w:p>
    <w:p w14:paraId="2B361EFD" w14:textId="77777777" w:rsidR="00B65293" w:rsidRPr="001C75FA" w:rsidRDefault="00B65293" w:rsidP="00B65293">
      <w:pPr>
        <w:numPr>
          <w:ilvl w:val="0"/>
          <w:numId w:val="8"/>
        </w:numPr>
        <w:spacing w:after="160" w:line="259" w:lineRule="auto"/>
        <w:contextualSpacing/>
        <w:jc w:val="left"/>
      </w:pPr>
      <w:r w:rsidRPr="001C75FA">
        <w:t>zdjęcia wszystkich istniejących szaf oświetleniowych (SO),</w:t>
      </w:r>
    </w:p>
    <w:p w14:paraId="564F87E1" w14:textId="77777777" w:rsidR="00B65293" w:rsidRPr="001C75FA" w:rsidRDefault="00B65293" w:rsidP="00B65293">
      <w:pPr>
        <w:numPr>
          <w:ilvl w:val="0"/>
          <w:numId w:val="8"/>
        </w:numPr>
        <w:spacing w:after="160" w:line="259" w:lineRule="auto"/>
        <w:contextualSpacing/>
        <w:jc w:val="left"/>
      </w:pPr>
      <w:r w:rsidRPr="001C75FA">
        <w:t>dane techniczne zawarte w pliku „Tabele inwentaryzacyjne”, stanowiące podstawę do sporządzenia oferty.</w:t>
      </w:r>
    </w:p>
    <w:p w14:paraId="441CB6E1" w14:textId="77777777" w:rsidR="00B65293" w:rsidRPr="00B65293" w:rsidRDefault="00B65293" w:rsidP="00B65293">
      <w:pPr>
        <w:spacing w:after="160" w:line="259" w:lineRule="auto"/>
        <w:contextualSpacing/>
        <w:jc w:val="left"/>
      </w:pPr>
    </w:p>
    <w:p w14:paraId="1CA09E0C" w14:textId="4CF672AC" w:rsidR="00B65293" w:rsidRPr="00B65293" w:rsidRDefault="00B65293" w:rsidP="00B65293">
      <w:pPr>
        <w:spacing w:after="0"/>
        <w:rPr>
          <w:b/>
          <w:bCs/>
        </w:rPr>
      </w:pPr>
      <w:r w:rsidRPr="00B65293">
        <w:rPr>
          <w:b/>
          <w:bCs/>
        </w:rPr>
        <w:t>Pytanie 2</w:t>
      </w:r>
      <w:r>
        <w:rPr>
          <w:b/>
          <w:bCs/>
        </w:rPr>
        <w:t>0</w:t>
      </w:r>
    </w:p>
    <w:p w14:paraId="58DBF0B3" w14:textId="77777777" w:rsidR="00B65293" w:rsidRPr="00B65293" w:rsidRDefault="00B65293" w:rsidP="00B65293">
      <w:pPr>
        <w:spacing w:after="160" w:line="259" w:lineRule="auto"/>
        <w:contextualSpacing/>
        <w:jc w:val="left"/>
      </w:pPr>
      <w:r w:rsidRPr="00B65293">
        <w:t xml:space="preserve">Dotyczy wymogu - „Zamawiający wymaga, aby projekt został opracowany z uwzględnieniem zasad ochrony ciemnego nieba (zgodnie z ideą Dark </w:t>
      </w:r>
      <w:proofErr w:type="spellStart"/>
      <w:r w:rsidRPr="00B65293">
        <w:t>Sky</w:t>
      </w:r>
      <w:proofErr w:type="spellEnd"/>
      <w:r w:rsidRPr="00B65293">
        <w:t>), wszędzie tam, gdzie pozwala na to istniejąca infrastruktura słupowa i lokalizacja opraw.”</w:t>
      </w:r>
    </w:p>
    <w:p w14:paraId="08ADE1AA" w14:textId="77777777" w:rsidR="00B65293" w:rsidRPr="00B65293" w:rsidRDefault="00B65293" w:rsidP="00B65293">
      <w:pPr>
        <w:spacing w:after="0"/>
      </w:pPr>
      <w:r w:rsidRPr="00B65293">
        <w:t xml:space="preserve">Informujemy, że ww. zapis odnoszący się do ochrony ciemnego nieba (Dark </w:t>
      </w:r>
      <w:proofErr w:type="spellStart"/>
      <w:r w:rsidRPr="00B65293">
        <w:t>Sky</w:t>
      </w:r>
      <w:proofErr w:type="spellEnd"/>
      <w:r w:rsidRPr="00B65293">
        <w:t xml:space="preserve">) jest sprzeczny z art. 99 ust. 1 ustawy Prawo zamówień publicznych. Zamawiający zobowiązany jest do określenia przedmiotu zamówienia w sposób jednoznaczny przy uwzględnieniu wszystkich warunków jakie mają wpływ na sporządzenie oferty. Zamawiający poprzez niedookreślenie lokalizacji gdzie należy chronić ciemne niebo, dopuścił do sytuacji, w której wykonawcy uznaniowo wybierać będą lokalizację co skutkować będzie brakiem możliwości porównania ofert i ich weryfikacji. Wykonanie obliczeń fotometrycznych zgodnie z ideą Dark </w:t>
      </w:r>
      <w:proofErr w:type="spellStart"/>
      <w:r w:rsidRPr="00B65293">
        <w:t>Sky</w:t>
      </w:r>
      <w:proofErr w:type="spellEnd"/>
      <w:r w:rsidRPr="00B65293">
        <w:t xml:space="preserve"> może skutkować koniecznością użycia rozwiązań o mniejszej skuteczności świetlnej co przy określonym w SWZ kryterium oceny oferty wprost wpłynie na rozstrzygnięcie postępowania. Stąd wnosimy o jednoznaczne określenie czy Zamawiający wymaga aby dla całej inwestycji, fotometria dobrana została zgodnie z ideą Dark </w:t>
      </w:r>
      <w:proofErr w:type="spellStart"/>
      <w:r w:rsidRPr="00B65293">
        <w:t>Sky</w:t>
      </w:r>
      <w:proofErr w:type="spellEnd"/>
      <w:r w:rsidRPr="00B65293">
        <w:t xml:space="preserve"> lub wnosimy o precyzyjne określenie jakie konkretne lokalizacje Zamawiający ma na myśli?</w:t>
      </w:r>
    </w:p>
    <w:p w14:paraId="11B6FA0C" w14:textId="77777777" w:rsidR="00B65293" w:rsidRPr="00B65293" w:rsidRDefault="00B65293" w:rsidP="00B65293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33A3562F" w14:textId="77777777" w:rsidR="00B65293" w:rsidRPr="00007221" w:rsidRDefault="00B65293" w:rsidP="00B65293">
      <w:pPr>
        <w:spacing w:after="0"/>
        <w:jc w:val="left"/>
      </w:pPr>
      <w:r w:rsidRPr="00007221">
        <w:t xml:space="preserve">Zamawiający informuje, że wymóg opracowania projektu z uwzględnieniem zasad ochrony ciemnego nieba (zgodnie z ideą Dark </w:t>
      </w:r>
      <w:proofErr w:type="spellStart"/>
      <w:r w:rsidRPr="00007221">
        <w:t>Sky</w:t>
      </w:r>
      <w:proofErr w:type="spellEnd"/>
      <w:r w:rsidRPr="00007221">
        <w:t>), dotyczy wyłącznie sytuacji projektowych nr 3</w:t>
      </w:r>
      <w:r w:rsidRPr="00B65293">
        <w:t xml:space="preserve"> (Park)</w:t>
      </w:r>
      <w:r w:rsidRPr="00007221">
        <w:t xml:space="preserve"> oraz nr 117</w:t>
      </w:r>
      <w:r w:rsidRPr="00B65293">
        <w:t xml:space="preserve">(plac zabaw) </w:t>
      </w:r>
      <w:r w:rsidRPr="00007221">
        <w:t>, wskazanych w dokumentacji projektowej.</w:t>
      </w:r>
    </w:p>
    <w:p w14:paraId="1C2E08EA" w14:textId="77777777" w:rsidR="00B65293" w:rsidRPr="00007221" w:rsidRDefault="00B65293" w:rsidP="00B65293">
      <w:pPr>
        <w:spacing w:after="0"/>
        <w:jc w:val="left"/>
      </w:pPr>
      <w:r w:rsidRPr="00007221">
        <w:lastRenderedPageBreak/>
        <w:t xml:space="preserve">Zastosowanie rozwiązań zgodnych z ideą Dark </w:t>
      </w:r>
      <w:proofErr w:type="spellStart"/>
      <w:r w:rsidRPr="00007221">
        <w:t>Sky</w:t>
      </w:r>
      <w:proofErr w:type="spellEnd"/>
      <w:r w:rsidRPr="00007221">
        <w:t xml:space="preserve"> w pozostałych lokalizacjach nie jest wymagane.</w:t>
      </w:r>
    </w:p>
    <w:p w14:paraId="2D18C98F" w14:textId="77777777" w:rsidR="00B65293" w:rsidRPr="00B65293" w:rsidRDefault="00B65293" w:rsidP="00B65293">
      <w:pPr>
        <w:spacing w:after="0"/>
        <w:rPr>
          <w:b/>
          <w:bCs/>
        </w:rPr>
      </w:pPr>
    </w:p>
    <w:p w14:paraId="2AF9308B" w14:textId="20DE6B96" w:rsidR="00B65293" w:rsidRPr="00B65293" w:rsidRDefault="00B65293" w:rsidP="00B65293">
      <w:pPr>
        <w:spacing w:after="0"/>
        <w:rPr>
          <w:b/>
          <w:bCs/>
        </w:rPr>
      </w:pPr>
      <w:r w:rsidRPr="00B65293">
        <w:rPr>
          <w:b/>
          <w:bCs/>
        </w:rPr>
        <w:t>Pytanie 2</w:t>
      </w:r>
      <w:r>
        <w:rPr>
          <w:b/>
          <w:bCs/>
        </w:rPr>
        <w:t>1</w:t>
      </w:r>
    </w:p>
    <w:p w14:paraId="34C803D0" w14:textId="77777777" w:rsidR="00B65293" w:rsidRPr="00B65293" w:rsidRDefault="00B65293" w:rsidP="00B65293">
      <w:r w:rsidRPr="00B65293">
        <w:t xml:space="preserve">w związku z bardzo rozbudowanym postępowaniem i koniecznością dokładnego przeanalizowania i wyceny przedmiotu zamówienia prosimy o przesunięcie terminu składania ofert na dzień 05.08.2025r. </w:t>
      </w:r>
    </w:p>
    <w:p w14:paraId="784708B1" w14:textId="77777777" w:rsidR="00B65293" w:rsidRPr="00B65293" w:rsidRDefault="00B65293" w:rsidP="00B65293">
      <w:pPr>
        <w:spacing w:after="0"/>
      </w:pPr>
      <w:r w:rsidRPr="00B65293">
        <w:t>Powyższe umożliwi wykonawcom dokonanie lepszej kalkulacji ceny.</w:t>
      </w:r>
    </w:p>
    <w:p w14:paraId="58256F1A" w14:textId="77777777" w:rsidR="00B65293" w:rsidRPr="00B65293" w:rsidRDefault="00B65293" w:rsidP="00B65293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2F241B94" w14:textId="77777777" w:rsidR="00B65293" w:rsidRPr="00B65293" w:rsidRDefault="00B65293" w:rsidP="00B65293">
      <w:pPr>
        <w:spacing w:after="0"/>
      </w:pPr>
      <w:r w:rsidRPr="00B65293">
        <w:t>Zamawiający informuje, że nie przewiduje zmiany terminu składania ofert. Wydłużenie terminu postępowania wiąże się z ryzykiem utraty dofinansowania, dlatego Zamawiający podtrzymuje dotychczasowy harmonogram.</w:t>
      </w:r>
    </w:p>
    <w:p w14:paraId="1742BC28" w14:textId="77777777" w:rsidR="00B65293" w:rsidRPr="00B65293" w:rsidRDefault="00B65293" w:rsidP="00B65293">
      <w:pPr>
        <w:spacing w:after="0"/>
        <w:rPr>
          <w:b/>
          <w:bCs/>
        </w:rPr>
      </w:pPr>
    </w:p>
    <w:p w14:paraId="763917A1" w14:textId="0AC67B0F" w:rsidR="00B65293" w:rsidRPr="00B65293" w:rsidRDefault="00B65293" w:rsidP="00B65293">
      <w:pPr>
        <w:spacing w:after="0"/>
        <w:rPr>
          <w:b/>
          <w:bCs/>
        </w:rPr>
      </w:pPr>
      <w:r w:rsidRPr="00B65293">
        <w:rPr>
          <w:b/>
          <w:bCs/>
        </w:rPr>
        <w:t>Pytanie 2</w:t>
      </w:r>
      <w:r>
        <w:rPr>
          <w:b/>
          <w:bCs/>
        </w:rPr>
        <w:t>2</w:t>
      </w:r>
    </w:p>
    <w:p w14:paraId="074C782C" w14:textId="77777777" w:rsidR="00B65293" w:rsidRPr="00B65293" w:rsidRDefault="00B65293" w:rsidP="00B65293">
      <w:pPr>
        <w:spacing w:after="0"/>
      </w:pPr>
      <w:r w:rsidRPr="00B65293">
        <w:t xml:space="preserve">Czy zamawiający dysponuje danymi dotyczącymi rodzajów słupa, na których przewidziana jest wymiana wysięgników. W tabeli jest jedynie informacja słup betonowy. Przydałaby się informacja czy są to np. słupy </w:t>
      </w:r>
      <w:proofErr w:type="spellStart"/>
      <w:r w:rsidRPr="00B65293">
        <w:t>żn</w:t>
      </w:r>
      <w:proofErr w:type="spellEnd"/>
      <w:r w:rsidRPr="00B65293">
        <w:t xml:space="preserve"> czy wirowane - zdecydowanie różni się wtedy koszt montażu nowych wysięgników. Dodatkowo pytanie czy w przypadku słupów wirowanych wymagany jest montaż wysięgników na trzpieniu słupa czy na uchwytach przymocowanych taśmą aluminiową?</w:t>
      </w:r>
    </w:p>
    <w:p w14:paraId="1BAAED0E" w14:textId="77777777" w:rsidR="00B65293" w:rsidRPr="00B65293" w:rsidRDefault="00B65293" w:rsidP="00B65293">
      <w:pPr>
        <w:spacing w:after="0"/>
        <w:jc w:val="left"/>
        <w:rPr>
          <w:b/>
          <w:bCs/>
        </w:rPr>
      </w:pPr>
      <w:r w:rsidRPr="00B65293">
        <w:rPr>
          <w:b/>
          <w:bCs/>
        </w:rPr>
        <w:t xml:space="preserve">Zamawiający udziela odpowiedzi </w:t>
      </w:r>
    </w:p>
    <w:p w14:paraId="0754E6FD" w14:textId="77777777" w:rsidR="00B65293" w:rsidRPr="00653B15" w:rsidRDefault="00B65293" w:rsidP="00B65293">
      <w:pPr>
        <w:spacing w:after="0"/>
      </w:pPr>
      <w:r w:rsidRPr="00653B15">
        <w:t>Całkowita ilość wysięgników do wymiany wynosi 289 szt., z czego:</w:t>
      </w:r>
    </w:p>
    <w:p w14:paraId="5F2E3487" w14:textId="77777777" w:rsidR="00B65293" w:rsidRPr="00653B15" w:rsidRDefault="00B65293" w:rsidP="00B65293">
      <w:pPr>
        <w:numPr>
          <w:ilvl w:val="0"/>
          <w:numId w:val="9"/>
        </w:numPr>
        <w:spacing w:after="0"/>
      </w:pPr>
      <w:r w:rsidRPr="00653B15">
        <w:t>Na słupach ZN – 283 szt. (w tym dwa podwójne),</w:t>
      </w:r>
    </w:p>
    <w:p w14:paraId="0AA1F6DD" w14:textId="77777777" w:rsidR="00B65293" w:rsidRPr="00653B15" w:rsidRDefault="00B65293" w:rsidP="00B65293">
      <w:pPr>
        <w:numPr>
          <w:ilvl w:val="0"/>
          <w:numId w:val="9"/>
        </w:numPr>
        <w:spacing w:after="0"/>
      </w:pPr>
      <w:r w:rsidRPr="00653B15">
        <w:t>Na słupach EPV – 6 szt.</w:t>
      </w:r>
    </w:p>
    <w:p w14:paraId="02882B45" w14:textId="77777777" w:rsidR="00B65293" w:rsidRPr="00653B15" w:rsidRDefault="00B65293" w:rsidP="00B65293">
      <w:pPr>
        <w:spacing w:after="0"/>
      </w:pPr>
      <w:r w:rsidRPr="00653B15">
        <w:t>Zamawiający przekaże Wykonawcy dokładne lokalizacje poszczególnych typów słupów na etapie realizacji prac.</w:t>
      </w:r>
    </w:p>
    <w:p w14:paraId="3CF0A546" w14:textId="77777777" w:rsidR="00B65293" w:rsidRPr="00653B15" w:rsidRDefault="00B65293" w:rsidP="00B65293">
      <w:pPr>
        <w:spacing w:after="0"/>
      </w:pPr>
      <w:r w:rsidRPr="00653B15">
        <w:t>W wycenie należy przewidzieć montaż wysięgników na trzpieniu słupa. Natomiast na etapie realizacji, pod nadzorem i za zgodą Inspektora Nadzoru, w uzasadnionych przypadkach dopuszczony będzie montaż za pomocą opasek, pod warunkiem zapewnienia trwałego i bezpiecznego mocowania oraz zgodności z zaleceniami producenta wysięgników.</w:t>
      </w:r>
    </w:p>
    <w:p w14:paraId="7701328A" w14:textId="77777777" w:rsidR="00B65293" w:rsidRPr="00B65293" w:rsidRDefault="00B65293" w:rsidP="00B65293">
      <w:pPr>
        <w:spacing w:after="0"/>
        <w:rPr>
          <w:b/>
          <w:bCs/>
        </w:rPr>
      </w:pPr>
    </w:p>
    <w:p w14:paraId="03FCCD40" w14:textId="77777777" w:rsidR="00B65293" w:rsidRPr="00B65293" w:rsidRDefault="00B65293" w:rsidP="00B65293">
      <w:pPr>
        <w:spacing w:after="0"/>
      </w:pPr>
    </w:p>
    <w:p w14:paraId="2870624E" w14:textId="77777777" w:rsidR="00DE0009" w:rsidRPr="00B65293" w:rsidRDefault="00DE0009" w:rsidP="00DE0009">
      <w:pPr>
        <w:spacing w:after="0"/>
      </w:pPr>
    </w:p>
    <w:p w14:paraId="171FF0B4" w14:textId="77777777" w:rsidR="00401196" w:rsidRPr="0081264B" w:rsidRDefault="00401196" w:rsidP="00401196">
      <w:pPr>
        <w:spacing w:after="0"/>
        <w:jc w:val="left"/>
        <w:rPr>
          <w:bCs/>
          <w:color w:val="FF0000"/>
        </w:rPr>
      </w:pPr>
      <w:r w:rsidRPr="00B65293">
        <w:rPr>
          <w:bCs/>
          <w:color w:val="FF0000"/>
        </w:rPr>
        <w:t>Zamawiający informuje, iż powyższe pytanie wraz z odpowiedzią jest wiążące przy składaniu ofert. Pozostałe zapisy SWZ nie ulegają zmianie.</w:t>
      </w:r>
    </w:p>
    <w:p w14:paraId="22EA71E4" w14:textId="77777777" w:rsidR="00401196" w:rsidRPr="0067764F" w:rsidRDefault="00401196" w:rsidP="00401196">
      <w:pPr>
        <w:jc w:val="left"/>
      </w:pPr>
    </w:p>
    <w:sectPr w:rsidR="00401196" w:rsidRPr="0067764F" w:rsidSect="005B37D8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43CD1" w14:textId="77777777" w:rsidR="00F135AA" w:rsidRDefault="002D7380">
      <w:pPr>
        <w:spacing w:after="0" w:line="240" w:lineRule="auto"/>
      </w:pPr>
      <w:r>
        <w:separator/>
      </w:r>
    </w:p>
  </w:endnote>
  <w:endnote w:type="continuationSeparator" w:id="0">
    <w:p w14:paraId="728C2F3C" w14:textId="77777777" w:rsidR="00F135AA" w:rsidRDefault="002D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00D3B" w14:textId="77777777" w:rsidR="00401196" w:rsidRPr="00684090" w:rsidRDefault="002D7380">
    <w:pPr>
      <w:pStyle w:val="Stopka"/>
      <w:rPr>
        <w:szCs w:val="22"/>
      </w:rPr>
    </w:pPr>
    <w:bookmarkStart w:id="3" w:name="ezdSprawaZnak_2"/>
    <w:r w:rsidRPr="00032FC4">
      <w:t>ZP</w:t>
    </w:r>
    <w:r w:rsidR="009F30BF">
      <w:t>iFZ</w:t>
    </w:r>
    <w:r w:rsidRPr="00032FC4">
      <w:t>.271.</w:t>
    </w:r>
    <w:r w:rsidR="00D01C74">
      <w:t>19</w:t>
    </w:r>
    <w:r w:rsidRPr="00032FC4">
      <w:t>.202</w:t>
    </w:r>
    <w:bookmarkEnd w:id="3"/>
    <w:r w:rsidR="009F30BF">
      <w:t>5</w:t>
    </w:r>
    <w:r>
      <w:t>.</w:t>
    </w:r>
    <w:bookmarkStart w:id="4" w:name="ezdAutorInicjaly_2"/>
    <w:r w:rsidRPr="00032FC4">
      <w:t>IW</w:t>
    </w:r>
    <w:bookmarkEnd w:id="4"/>
    <w:r>
      <w:tab/>
    </w:r>
    <w:r>
      <w:tab/>
    </w:r>
    <w:r w:rsidRPr="00684090">
      <w:rPr>
        <w:szCs w:val="22"/>
      </w:rPr>
      <w:t xml:space="preserve">str.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PAGE  \* Arabic  \* MERGEFORMAT </w:instrText>
    </w:r>
    <w:r w:rsidRPr="00684090">
      <w:rPr>
        <w:szCs w:val="22"/>
      </w:rPr>
      <w:fldChar w:fldCharType="separate"/>
    </w:r>
    <w:r>
      <w:rPr>
        <w:noProof/>
        <w:szCs w:val="22"/>
      </w:rPr>
      <w:t>3</w:t>
    </w:r>
    <w:r w:rsidRPr="00684090">
      <w:rPr>
        <w:szCs w:val="22"/>
      </w:rPr>
      <w:fldChar w:fldCharType="end"/>
    </w:r>
    <w:r w:rsidRPr="00684090">
      <w:rPr>
        <w:szCs w:val="22"/>
      </w:rPr>
      <w:t xml:space="preserve"> z</w:t>
    </w:r>
    <w:r>
      <w:rPr>
        <w:szCs w:val="22"/>
      </w:rPr>
      <w:t xml:space="preserve">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NUMPAGES  \* Arabic  \* MERGEFORMAT </w:instrText>
    </w:r>
    <w:r w:rsidRPr="00684090">
      <w:rPr>
        <w:szCs w:val="22"/>
      </w:rPr>
      <w:fldChar w:fldCharType="separate"/>
    </w:r>
    <w:r>
      <w:rPr>
        <w:noProof/>
        <w:szCs w:val="22"/>
      </w:rPr>
      <w:t>3</w:t>
    </w:r>
    <w:r w:rsidRPr="00684090">
      <w:rPr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B123A" w14:textId="77777777" w:rsidR="00401196" w:rsidRPr="00731576" w:rsidRDefault="00401196" w:rsidP="00C65DB4">
    <w:pPr>
      <w:pStyle w:val="Stopka"/>
      <w:tabs>
        <w:tab w:val="clear" w:pos="4536"/>
        <w:tab w:val="clear" w:pos="9072"/>
        <w:tab w:val="center" w:pos="4535"/>
      </w:tabs>
      <w:spacing w:line="264" w:lineRule="auto"/>
      <w:jc w:val="center"/>
      <w:rPr>
        <w:rFonts w:ascii="Georgia" w:hAnsi="Georgia" w:cs="Georgia"/>
        <w:sz w:val="18"/>
        <w:szCs w:val="18"/>
      </w:rPr>
    </w:pPr>
  </w:p>
  <w:p w14:paraId="06F71FA1" w14:textId="77777777" w:rsidR="00401196" w:rsidRDefault="002D7380">
    <w:pPr>
      <w:pStyle w:val="Stopka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E9975" w14:textId="77777777" w:rsidR="00F135AA" w:rsidRDefault="002D7380">
      <w:pPr>
        <w:spacing w:after="0" w:line="240" w:lineRule="auto"/>
      </w:pPr>
      <w:r>
        <w:separator/>
      </w:r>
    </w:p>
  </w:footnote>
  <w:footnote w:type="continuationSeparator" w:id="0">
    <w:p w14:paraId="07009D7E" w14:textId="77777777" w:rsidR="00F135AA" w:rsidRDefault="002D7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36" w:type="dxa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1577"/>
      <w:gridCol w:w="7259"/>
    </w:tblGrid>
    <w:tr w:rsidR="000D6463" w14:paraId="3CABE2DA" w14:textId="77777777" w:rsidTr="00074DEA">
      <w:trPr>
        <w:trHeight w:hRule="exact" w:val="1588"/>
      </w:trPr>
      <w:tc>
        <w:tcPr>
          <w:tcW w:w="1577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2E49E3C8" w14:textId="77777777" w:rsidR="00401196" w:rsidRDefault="002D7380" w:rsidP="002123E4">
          <w:pPr>
            <w:spacing w:before="80"/>
            <w:jc w:val="right"/>
          </w:pPr>
          <w:r>
            <w:rPr>
              <w:noProof/>
            </w:rPr>
            <w:drawing>
              <wp:inline distT="0" distB="0" distL="0" distR="0" wp14:anchorId="01027927" wp14:editId="56EE6DC3">
                <wp:extent cx="784860" cy="901065"/>
                <wp:effectExtent l="0" t="0" r="0" b="0"/>
                <wp:docPr id="2" name="Obraz 2" descr="herb_3kolory_400pi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herb_3kolory_400pi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9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3B44692" w14:textId="77777777" w:rsidR="00401196" w:rsidRDefault="002D7380" w:rsidP="002123E4">
          <w:pPr>
            <w:pStyle w:val="Nagwek"/>
            <w:tabs>
              <w:tab w:val="right" w:pos="-3261"/>
            </w:tabs>
            <w:spacing w:after="60" w:line="240" w:lineRule="auto"/>
            <w:rPr>
              <w:rFonts w:cs="Arial"/>
              <w:b/>
              <w:bCs/>
              <w:sz w:val="52"/>
              <w:szCs w:val="52"/>
            </w:rPr>
          </w:pPr>
          <w:r>
            <w:rPr>
              <w:rFonts w:cs="Arial"/>
              <w:b/>
              <w:bCs/>
              <w:sz w:val="52"/>
              <w:szCs w:val="52"/>
            </w:rPr>
            <w:t>GMINA</w:t>
          </w:r>
          <w:r w:rsidRPr="000D46F1">
            <w:rPr>
              <w:rFonts w:cs="Arial"/>
              <w:b/>
              <w:bCs/>
              <w:sz w:val="52"/>
              <w:szCs w:val="52"/>
            </w:rPr>
            <w:t xml:space="preserve"> RASZYN</w:t>
          </w:r>
        </w:p>
        <w:p w14:paraId="160443DB" w14:textId="77777777" w:rsidR="00401196" w:rsidRDefault="002D7380" w:rsidP="002123E4">
          <w:pPr>
            <w:pStyle w:val="Nagwek"/>
            <w:tabs>
              <w:tab w:val="right" w:pos="-3261"/>
            </w:tabs>
            <w:spacing w:after="40" w:line="264" w:lineRule="auto"/>
            <w:jc w:val="left"/>
            <w:rPr>
              <w:rFonts w:ascii="Arial" w:hAnsi="Arial" w:cs="Arial"/>
              <w:b/>
              <w:bCs/>
            </w:rPr>
          </w:pPr>
          <w:r w:rsidRPr="00ED7052">
            <w:rPr>
              <w:rFonts w:cs="Arial"/>
              <w:b/>
              <w:bCs/>
            </w:rPr>
            <w:t>ul. Szkolna 2a, 05-090 Raszyn</w:t>
          </w:r>
          <w:r>
            <w:rPr>
              <w:rFonts w:cs="Arial"/>
              <w:b/>
              <w:bCs/>
            </w:rPr>
            <w:br/>
          </w:r>
          <w:r w:rsidRPr="00ED7052">
            <w:rPr>
              <w:rFonts w:cs="Arial"/>
              <w:bCs/>
              <w:szCs w:val="22"/>
            </w:rPr>
            <w:t>tel. 22 701 77 77, 22 701 77 70, fax. 22 701 77 78</w:t>
          </w:r>
          <w:r>
            <w:rPr>
              <w:rFonts w:cs="Arial"/>
              <w:bCs/>
              <w:szCs w:val="22"/>
            </w:rPr>
            <w:t xml:space="preserve"> </w:t>
          </w:r>
          <w:r w:rsidRPr="00ED7052">
            <w:rPr>
              <w:rFonts w:cs="Arial"/>
              <w:bCs/>
              <w:szCs w:val="22"/>
            </w:rPr>
            <w:br/>
            <w:t>https://raszyn.pl, email: ratusz@raszyn.pl</w:t>
          </w:r>
        </w:p>
      </w:tc>
    </w:tr>
  </w:tbl>
  <w:p w14:paraId="292AAB2D" w14:textId="77777777" w:rsidR="00401196" w:rsidRPr="00E005C3" w:rsidRDefault="00401196" w:rsidP="002123E4">
    <w:pPr>
      <w:pStyle w:val="Nagwek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3A0D"/>
    <w:multiLevelType w:val="hybridMultilevel"/>
    <w:tmpl w:val="999A1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7B75"/>
    <w:multiLevelType w:val="multilevel"/>
    <w:tmpl w:val="370C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8242E"/>
    <w:multiLevelType w:val="singleLevel"/>
    <w:tmpl w:val="4CFE34D2"/>
    <w:lvl w:ilvl="0">
      <w:start w:val="1"/>
      <w:numFmt w:val="decimal"/>
      <w:pStyle w:val="PARAGRAF"/>
      <w:lvlText w:val="§ %1. "/>
      <w:lvlJc w:val="left"/>
      <w:pPr>
        <w:tabs>
          <w:tab w:val="num" w:pos="720"/>
        </w:tabs>
      </w:pPr>
      <w:rPr>
        <w:rFonts w:cs="Times New Roman"/>
        <w:b/>
        <w:bCs/>
        <w:i w:val="0"/>
        <w:iCs w:val="0"/>
        <w:sz w:val="24"/>
        <w:szCs w:val="24"/>
      </w:rPr>
    </w:lvl>
  </w:abstractNum>
  <w:abstractNum w:abstractNumId="3" w15:restartNumberingAfterBreak="0">
    <w:nsid w:val="19BD113D"/>
    <w:multiLevelType w:val="multilevel"/>
    <w:tmpl w:val="19FAC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4846EAE"/>
    <w:multiLevelType w:val="multilevel"/>
    <w:tmpl w:val="CA2EE800"/>
    <w:lvl w:ilvl="0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680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A0640DD"/>
    <w:multiLevelType w:val="multilevel"/>
    <w:tmpl w:val="4818173C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7693EA6"/>
    <w:multiLevelType w:val="multilevel"/>
    <w:tmpl w:val="6798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76646"/>
    <w:multiLevelType w:val="multilevel"/>
    <w:tmpl w:val="AF62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937EF"/>
    <w:multiLevelType w:val="hybridMultilevel"/>
    <w:tmpl w:val="F7EEFB1E"/>
    <w:lvl w:ilvl="0" w:tplc="FEA6E334">
      <w:start w:val="1"/>
      <w:numFmt w:val="decimal"/>
      <w:lvlText w:val="%1."/>
      <w:lvlJc w:val="left"/>
      <w:pPr>
        <w:ind w:left="720" w:hanging="360"/>
      </w:pPr>
    </w:lvl>
    <w:lvl w:ilvl="1" w:tplc="DD3A7DDA" w:tentative="1">
      <w:start w:val="1"/>
      <w:numFmt w:val="lowerLetter"/>
      <w:lvlText w:val="%2."/>
      <w:lvlJc w:val="left"/>
      <w:pPr>
        <w:ind w:left="1440" w:hanging="360"/>
      </w:pPr>
    </w:lvl>
    <w:lvl w:ilvl="2" w:tplc="90BE6EE4" w:tentative="1">
      <w:start w:val="1"/>
      <w:numFmt w:val="lowerRoman"/>
      <w:lvlText w:val="%3."/>
      <w:lvlJc w:val="right"/>
      <w:pPr>
        <w:ind w:left="2160" w:hanging="180"/>
      </w:pPr>
    </w:lvl>
    <w:lvl w:ilvl="3" w:tplc="BA90C864" w:tentative="1">
      <w:start w:val="1"/>
      <w:numFmt w:val="decimal"/>
      <w:lvlText w:val="%4."/>
      <w:lvlJc w:val="left"/>
      <w:pPr>
        <w:ind w:left="2880" w:hanging="360"/>
      </w:pPr>
    </w:lvl>
    <w:lvl w:ilvl="4" w:tplc="190052B2" w:tentative="1">
      <w:start w:val="1"/>
      <w:numFmt w:val="lowerLetter"/>
      <w:lvlText w:val="%5."/>
      <w:lvlJc w:val="left"/>
      <w:pPr>
        <w:ind w:left="3600" w:hanging="360"/>
      </w:pPr>
    </w:lvl>
    <w:lvl w:ilvl="5" w:tplc="F54AE2B8" w:tentative="1">
      <w:start w:val="1"/>
      <w:numFmt w:val="lowerRoman"/>
      <w:lvlText w:val="%6."/>
      <w:lvlJc w:val="right"/>
      <w:pPr>
        <w:ind w:left="4320" w:hanging="180"/>
      </w:pPr>
    </w:lvl>
    <w:lvl w:ilvl="6" w:tplc="5DE0C7FC" w:tentative="1">
      <w:start w:val="1"/>
      <w:numFmt w:val="decimal"/>
      <w:lvlText w:val="%7."/>
      <w:lvlJc w:val="left"/>
      <w:pPr>
        <w:ind w:left="5040" w:hanging="360"/>
      </w:pPr>
    </w:lvl>
    <w:lvl w:ilvl="7" w:tplc="AA88AFBE" w:tentative="1">
      <w:start w:val="1"/>
      <w:numFmt w:val="lowerLetter"/>
      <w:lvlText w:val="%8."/>
      <w:lvlJc w:val="left"/>
      <w:pPr>
        <w:ind w:left="5760" w:hanging="360"/>
      </w:pPr>
    </w:lvl>
    <w:lvl w:ilvl="8" w:tplc="BC546B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63"/>
    <w:rsid w:val="000D56FB"/>
    <w:rsid w:val="000D6463"/>
    <w:rsid w:val="000E2592"/>
    <w:rsid w:val="002563BF"/>
    <w:rsid w:val="002D7380"/>
    <w:rsid w:val="003452F5"/>
    <w:rsid w:val="00401196"/>
    <w:rsid w:val="004429CE"/>
    <w:rsid w:val="0048645F"/>
    <w:rsid w:val="00590D01"/>
    <w:rsid w:val="005B3D95"/>
    <w:rsid w:val="005E205B"/>
    <w:rsid w:val="009F30BF"/>
    <w:rsid w:val="00AD4375"/>
    <w:rsid w:val="00B65293"/>
    <w:rsid w:val="00C9431F"/>
    <w:rsid w:val="00D01C74"/>
    <w:rsid w:val="00DA7A4B"/>
    <w:rsid w:val="00DE0009"/>
    <w:rsid w:val="00EB3D1B"/>
    <w:rsid w:val="00F135AA"/>
    <w:rsid w:val="00F22F7D"/>
    <w:rsid w:val="00FA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C2E71"/>
  <w15:docId w15:val="{27756874-97FF-472A-9218-61CBB37E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27DB"/>
    <w:pPr>
      <w:spacing w:after="120" w:line="276" w:lineRule="auto"/>
      <w:jc w:val="both"/>
    </w:pPr>
    <w:rPr>
      <w:rFonts w:ascii="Lato" w:hAnsi="Lato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C2CBA"/>
    <w:pPr>
      <w:keepNext/>
      <w:numPr>
        <w:numId w:val="1"/>
      </w:numPr>
      <w:suppressAutoHyphens/>
      <w:spacing w:before="240"/>
      <w:ind w:left="357" w:hanging="357"/>
      <w:outlineLvl w:val="0"/>
    </w:pPr>
    <w:rPr>
      <w:rFonts w:cs="Arial"/>
      <w:b/>
      <w:bCs/>
    </w:rPr>
  </w:style>
  <w:style w:type="paragraph" w:styleId="Nagwek2">
    <w:name w:val="heading 2"/>
    <w:basedOn w:val="Nagwek1"/>
    <w:next w:val="Normalny"/>
    <w:link w:val="Nagwek2Znak"/>
    <w:uiPriority w:val="99"/>
    <w:qFormat/>
    <w:rsid w:val="00672D0A"/>
    <w:pPr>
      <w:numPr>
        <w:ilvl w:val="1"/>
        <w:numId w:val="4"/>
      </w:numPr>
      <w:spacing w:after="60"/>
      <w:outlineLvl w:val="1"/>
    </w:pPr>
    <w:rPr>
      <w:bCs w:val="0"/>
      <w:iCs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42E92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C2CBA"/>
    <w:rPr>
      <w:rFonts w:ascii="Lato" w:hAnsi="Lato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672D0A"/>
    <w:rPr>
      <w:rFonts w:ascii="Lato" w:hAnsi="Lato" w:cs="Arial"/>
      <w:b/>
      <w:iCs/>
      <w:sz w:val="24"/>
      <w:szCs w:val="28"/>
    </w:rPr>
  </w:style>
  <w:style w:type="paragraph" w:styleId="Nagwek">
    <w:name w:val="header"/>
    <w:basedOn w:val="Normalny"/>
    <w:link w:val="Nagwek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86BB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86BB3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0D216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0D6DC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0D6DCD"/>
    <w:pPr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D6DCD"/>
    <w:pPr>
      <w:spacing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86BB3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C934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3D7059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771A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B86BB3"/>
    <w:rPr>
      <w:rFonts w:cs="Times New Roman"/>
      <w:sz w:val="2"/>
      <w:szCs w:val="2"/>
    </w:rPr>
  </w:style>
  <w:style w:type="character" w:styleId="Odwoaniedokomentarza">
    <w:name w:val="annotation reference"/>
    <w:basedOn w:val="Domylnaczcionkaakapitu"/>
    <w:uiPriority w:val="99"/>
    <w:semiHidden/>
    <w:rsid w:val="008F5F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5F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86BB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5F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86BB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F5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86BB3"/>
    <w:rPr>
      <w:rFonts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10D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10D3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53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D534F"/>
    <w:rPr>
      <w:rFonts w:cs="Times New Roman"/>
      <w:vertAlign w:val="superscript"/>
    </w:rPr>
  </w:style>
  <w:style w:type="paragraph" w:customStyle="1" w:styleId="Default">
    <w:name w:val="Default"/>
    <w:uiPriority w:val="99"/>
    <w:rsid w:val="00C919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C9198C"/>
    <w:pPr>
      <w:ind w:left="780"/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B86BB3"/>
    <w:rPr>
      <w:rFonts w:ascii="Cambria" w:hAnsi="Cambria" w:cs="Cambria"/>
      <w:b/>
      <w:bCs/>
      <w:kern w:val="28"/>
      <w:sz w:val="32"/>
      <w:szCs w:val="32"/>
    </w:rPr>
  </w:style>
  <w:style w:type="paragraph" w:customStyle="1" w:styleId="BodyText21">
    <w:name w:val="Body Text 21"/>
    <w:basedOn w:val="Normalny"/>
    <w:uiPriority w:val="99"/>
    <w:rsid w:val="00C9198C"/>
    <w:pPr>
      <w:widowControl w:val="0"/>
      <w:snapToGrid w:val="0"/>
    </w:pPr>
  </w:style>
  <w:style w:type="paragraph" w:customStyle="1" w:styleId="PARAGRAF">
    <w:name w:val="PARAGRAF"/>
    <w:basedOn w:val="Normalny"/>
    <w:next w:val="PUNKT"/>
    <w:uiPriority w:val="99"/>
    <w:rsid w:val="00462DCA"/>
    <w:pPr>
      <w:numPr>
        <w:numId w:val="2"/>
      </w:numPr>
      <w:tabs>
        <w:tab w:val="left" w:pos="284"/>
        <w:tab w:val="left" w:pos="357"/>
      </w:tabs>
    </w:pPr>
    <w:rPr>
      <w:sz w:val="20"/>
      <w:szCs w:val="20"/>
    </w:rPr>
  </w:style>
  <w:style w:type="paragraph" w:customStyle="1" w:styleId="PUNKT">
    <w:name w:val="PUNKT"/>
    <w:basedOn w:val="Normalny"/>
    <w:uiPriority w:val="99"/>
    <w:rsid w:val="00462DCA"/>
    <w:pPr>
      <w:numPr>
        <w:ilvl w:val="12"/>
      </w:numPr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9133F6"/>
    <w:pPr>
      <w:spacing w:after="0"/>
      <w:ind w:left="720"/>
    </w:pPr>
    <w:rPr>
      <w:rFonts w:cs="Calibri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D42E92"/>
    <w:rPr>
      <w:rFonts w:ascii="Lato" w:eastAsiaTheme="majorEastAsia" w:hAnsi="Lato" w:cstheme="majorBidi"/>
      <w:color w:val="243F60" w:themeColor="accent1" w:themeShade="7F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locked/>
    <w:rsid w:val="00D42E9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D42E92"/>
    <w:rPr>
      <w:rFonts w:ascii="Lato" w:eastAsiaTheme="minorEastAsia" w:hAnsi="Lato" w:cstheme="minorBidi"/>
      <w:color w:val="5A5A5A" w:themeColor="text1" w:themeTint="A5"/>
      <w:spacing w:val="15"/>
    </w:rPr>
  </w:style>
  <w:style w:type="character" w:customStyle="1" w:styleId="AkapitzlistZnak">
    <w:name w:val="Akapit z listą Znak"/>
    <w:link w:val="Akapitzlist"/>
    <w:uiPriority w:val="34"/>
    <w:locked/>
    <w:rsid w:val="00401196"/>
    <w:rPr>
      <w:rFonts w:ascii="Lato" w:hAnsi="Lato" w:cs="Calibr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4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mura.raszyn.pl/dysk/d/s/145Q1s2DsCULGO63Dar8jkeB8t0AGewm/h5GTxGyq14w6dvQEuntIL7gDUwBDN9qP-ArSgesZeag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D2F9F-CAFE-4C6D-B74E-4729F44E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2319</Words>
  <Characters>16039</Characters>
  <Application>Microsoft Office Word</Application>
  <DocSecurity>4</DocSecurity>
  <Lines>133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Raszyn, dnia «%pismo%data_pisma»</vt:lpstr>
    </vt:vector>
  </TitlesOfParts>
  <Company>Urząd Gminy Raszyn</Company>
  <LinksUpToDate>false</LinksUpToDate>
  <CharactersWithSpaces>18322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Raszyn, dnia «%pismo%data_pisma»</dc:title>
  <dc:creator>Urząd Gminy Raszyn</dc:creator>
  <cp:lastModifiedBy>Iwona Wójcik</cp:lastModifiedBy>
  <cp:revision>2</cp:revision>
  <cp:lastPrinted>2023-06-20T17:08:00Z</cp:lastPrinted>
  <dcterms:created xsi:type="dcterms:W3CDTF">2025-07-24T13:14:00Z</dcterms:created>
  <dcterms:modified xsi:type="dcterms:W3CDTF">2025-07-24T13:14:00Z</dcterms:modified>
</cp:coreProperties>
</file>