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7AF3" w14:textId="77777777" w:rsidR="00A17422" w:rsidRPr="007315AC" w:rsidRDefault="00A17422">
      <w:pPr>
        <w:pStyle w:val="Tytu"/>
        <w:jc w:val="right"/>
        <w:rPr>
          <w:rFonts w:ascii="Titillium" w:eastAsiaTheme="minorHAnsi" w:hAnsi="Titillium" w:cstheme="minorBidi"/>
          <w:spacing w:val="0"/>
          <w:kern w:val="0"/>
          <w:sz w:val="22"/>
          <w:szCs w:val="22"/>
        </w:rPr>
      </w:pPr>
    </w:p>
    <w:p w14:paraId="211A7A9F" w14:textId="77777777" w:rsidR="00A17422" w:rsidRPr="007315AC" w:rsidRDefault="00332EA5">
      <w:pPr>
        <w:rPr>
          <w:rFonts w:ascii="Titillium" w:hAnsi="Titillium"/>
        </w:rPr>
      </w:pPr>
      <w:r w:rsidRPr="007315AC">
        <w:rPr>
          <w:rFonts w:ascii="Titillium" w:hAnsi="Titillium"/>
        </w:rPr>
        <w:t>Wymagania dla próbki przedmiotu zamówienia oraz zasady i zakres jej badania</w:t>
      </w:r>
    </w:p>
    <w:p w14:paraId="73F8C28D" w14:textId="36A8F875" w:rsidR="00A17422" w:rsidRPr="007315AC" w:rsidRDefault="00332EA5" w:rsidP="001E287A">
      <w:pPr>
        <w:pStyle w:val="Nagwek1"/>
        <w:numPr>
          <w:ilvl w:val="0"/>
          <w:numId w:val="24"/>
        </w:numPr>
        <w:spacing w:before="80" w:after="80"/>
        <w:rPr>
          <w:rFonts w:ascii="Titillium" w:hAnsi="Titillium"/>
          <w:b/>
          <w:bCs/>
          <w:color w:val="auto"/>
          <w:sz w:val="22"/>
          <w:szCs w:val="22"/>
        </w:rPr>
      </w:pPr>
      <w:bookmarkStart w:id="0" w:name="_Hlk55136643"/>
      <w:bookmarkEnd w:id="0"/>
      <w:r w:rsidRPr="007315AC">
        <w:rPr>
          <w:rFonts w:ascii="Titillium" w:hAnsi="Titillium"/>
          <w:b/>
          <w:bCs/>
          <w:color w:val="auto"/>
          <w:sz w:val="22"/>
          <w:szCs w:val="22"/>
        </w:rPr>
        <w:t>Badanie próbki – wymagania ogólne.</w:t>
      </w:r>
    </w:p>
    <w:p w14:paraId="294C9FC6" w14:textId="77777777" w:rsidR="00A17422" w:rsidRPr="007315AC" w:rsidRDefault="00332E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Celem złożenia próbki jest potwierdzenie, poprzez jej badanie i wyjaśnianie, zwane dalej badaniem próbki, czy oferowane przez Wykonawcę dostawy i usługi (Oprogramowanie) odpowiadają kluczowym wymaganiom określonym przez Zamawiającego w opisie przedmiotu zamówienia w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 w:cstheme="minorHAnsi"/>
        </w:rPr>
        <w:t>szczeg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 w:cstheme="minorHAnsi"/>
        </w:rPr>
        <w:t>lno</w:t>
      </w:r>
      <w:r w:rsidRPr="007315AC">
        <w:rPr>
          <w:rFonts w:ascii="Titillium" w:hAnsi="Titillium" w:cs="Titillium"/>
        </w:rPr>
        <w:t>ś</w:t>
      </w:r>
      <w:r w:rsidRPr="007315AC">
        <w:rPr>
          <w:rFonts w:ascii="Titillium" w:hAnsi="Titillium" w:cstheme="minorHAnsi"/>
        </w:rPr>
        <w:t>ci w zakresie mo</w:t>
      </w:r>
      <w:r w:rsidRPr="007315AC">
        <w:rPr>
          <w:rFonts w:ascii="Titillium" w:hAnsi="Titillium" w:cs="Titillium"/>
        </w:rPr>
        <w:t>ż</w:t>
      </w:r>
      <w:r w:rsidRPr="007315AC">
        <w:rPr>
          <w:rFonts w:ascii="Titillium" w:hAnsi="Titillium" w:cstheme="minorHAnsi"/>
        </w:rPr>
        <w:t>liwo</w:t>
      </w:r>
      <w:r w:rsidRPr="007315AC">
        <w:rPr>
          <w:rFonts w:ascii="Titillium" w:hAnsi="Titillium" w:cs="Titillium"/>
        </w:rPr>
        <w:t>ś</w:t>
      </w:r>
      <w:r w:rsidRPr="007315AC">
        <w:rPr>
          <w:rFonts w:ascii="Titillium" w:hAnsi="Titillium" w:cstheme="minorHAnsi"/>
        </w:rPr>
        <w:t xml:space="preserve">ci </w:t>
      </w:r>
      <w:r w:rsidRPr="007315AC">
        <w:rPr>
          <w:rFonts w:ascii="Titillium" w:hAnsi="Titillium" w:cs="Titillium"/>
        </w:rPr>
        <w:t>ś</w:t>
      </w:r>
      <w:r w:rsidRPr="007315AC">
        <w:rPr>
          <w:rFonts w:ascii="Titillium" w:hAnsi="Titillium" w:cstheme="minorHAnsi"/>
        </w:rPr>
        <w:t>wiadczenia e-us</w:t>
      </w:r>
      <w:r w:rsidRPr="007315AC">
        <w:rPr>
          <w:rFonts w:ascii="Titillium" w:hAnsi="Titillium" w:cs="Titillium"/>
        </w:rPr>
        <w:t>ł</w:t>
      </w:r>
      <w:r w:rsidRPr="007315AC">
        <w:rPr>
          <w:rFonts w:ascii="Titillium" w:hAnsi="Titillium" w:cstheme="minorHAnsi"/>
        </w:rPr>
        <w:t>ug b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 w:cstheme="minorHAnsi"/>
        </w:rPr>
        <w:t>d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 w:cstheme="minorHAnsi"/>
        </w:rPr>
        <w:t>cych przedmiotem realizacji projektu.</w:t>
      </w:r>
    </w:p>
    <w:p w14:paraId="7B9A2ED7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 xml:space="preserve">Mając na uwadze wymieniony powyżej cel badania próbki, próbka ma zawierać oprogramowanie zaoferowane przez Wykonawcę w ramach zamówienia w zakresie następujących systemów: </w:t>
      </w:r>
    </w:p>
    <w:p w14:paraId="6503EBFC" w14:textId="4CA7CD2F" w:rsidR="00A17422" w:rsidRPr="007315AC" w:rsidRDefault="00332EA5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Oprogramowanie dla Urzędu Miasta Ryd</w:t>
      </w:r>
      <w:r w:rsidR="00735683" w:rsidRPr="007315AC">
        <w:rPr>
          <w:rFonts w:ascii="Titillium" w:hAnsi="Titillium" w:cstheme="minorHAnsi"/>
        </w:rPr>
        <w:t>u</w:t>
      </w:r>
      <w:r w:rsidRPr="007315AC">
        <w:rPr>
          <w:rFonts w:ascii="Titillium" w:hAnsi="Titillium" w:cstheme="minorHAnsi"/>
        </w:rPr>
        <w:t>łtowy</w:t>
      </w:r>
      <w:r w:rsidRPr="007315AC">
        <w:rPr>
          <w:rFonts w:ascii="Titillium" w:hAnsi="Titillium" w:cstheme="minorHAnsi"/>
        </w:rPr>
        <w:tab/>
      </w:r>
    </w:p>
    <w:p w14:paraId="62810261" w14:textId="77777777" w:rsidR="00A17422" w:rsidRPr="007315AC" w:rsidRDefault="00332EA5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Oprogramowanie dla Zakładu Gospodarki Komunalnej w Rydułtowach</w:t>
      </w:r>
    </w:p>
    <w:p w14:paraId="0A45294B" w14:textId="77777777" w:rsidR="00A17422" w:rsidRPr="007315AC" w:rsidRDefault="00332E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Zamawiający, wymaga, aby Wykonawca wraz z ofertą złożył dwa dyski: dysk 1 - dysk podstawowy – próbka; dysk 2 – dysk zapasowy - próbka (kopia), na których przekaże próbkę Oprogramowania, o którym mowa w ust. 2 w postaci wirtualnej maszyny z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 w:cstheme="minorHAnsi"/>
        </w:rPr>
        <w:t xml:space="preserve">zainstalowanym systemem operacyjnym, bazodanowym i oferowanym przez Wykonawcę pakietem oprogramowania zasilonym przykładowymi danymi, które umożliwiają przeprowadzenie procedury badania próbki </w:t>
      </w:r>
      <w:r w:rsidRPr="007315AC">
        <w:rPr>
          <w:rFonts w:ascii="Titillium" w:hAnsi="Titillium"/>
        </w:rPr>
        <w:t>w zakresie  i na zasadach opisanych w niniejszym Załączniku do SWZ, w tym według</w:t>
      </w:r>
      <w:r w:rsidRPr="007315AC">
        <w:rPr>
          <w:rFonts w:ascii="Titillium" w:hAnsi="Titillium" w:cstheme="minorHAnsi"/>
        </w:rPr>
        <w:t xml:space="preserve"> scenariusza badania próbki.</w:t>
      </w:r>
    </w:p>
    <w:p w14:paraId="1A4DE4DC" w14:textId="77777777" w:rsidR="00A17422" w:rsidRPr="007315AC" w:rsidRDefault="00332E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Przykładowe dane nie mogą naruszać zapisów Ustawy o ochronie danych osobowych. W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 w:cstheme="minorHAnsi"/>
        </w:rPr>
        <w:t>przypadku jej naruszenia Wykonawca ponosi ca</w:t>
      </w:r>
      <w:r w:rsidRPr="007315AC">
        <w:rPr>
          <w:rFonts w:ascii="Titillium" w:hAnsi="Titillium" w:cs="Titillium"/>
        </w:rPr>
        <w:t>ł</w:t>
      </w:r>
      <w:r w:rsidRPr="007315AC">
        <w:rPr>
          <w:rFonts w:ascii="Titillium" w:hAnsi="Titillium" w:cstheme="minorHAnsi"/>
        </w:rPr>
        <w:t>kowit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 w:cstheme="minorHAnsi"/>
        </w:rPr>
        <w:t xml:space="preserve"> odpowiedzialno</w:t>
      </w:r>
      <w:r w:rsidRPr="007315AC">
        <w:rPr>
          <w:rFonts w:ascii="Titillium" w:hAnsi="Titillium" w:cs="Titillium"/>
        </w:rPr>
        <w:t>ść</w:t>
      </w:r>
      <w:r w:rsidRPr="007315AC">
        <w:rPr>
          <w:rFonts w:ascii="Titillium" w:hAnsi="Titillium" w:cstheme="minorHAnsi"/>
        </w:rPr>
        <w:t>.</w:t>
      </w:r>
    </w:p>
    <w:p w14:paraId="395191C1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Próbka musi zawierać instrukcję umożliwiającą wstępne badanie jej zawartości. Instrukcja musi umożliwić Zamawiającemu sprawdzenie kompletności oprogramowania. W tym celu instrukcja ta musi zawierać wskazówki dotyczące uruchomienia maszyny wirtualnej, loginy i hasła niezbędne do uruchomienia maszyn i zawartego na niej oprogramowania oraz wskazówki dotyczące lokalizacji i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sposobu uruchomienia poszczeg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/>
        </w:rPr>
        <w:t>lnych element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/>
        </w:rPr>
        <w:t>w oprogramowania. Instrukcja powinna zawiera</w:t>
      </w:r>
      <w:r w:rsidRPr="007315AC">
        <w:rPr>
          <w:rFonts w:ascii="Titillium" w:hAnsi="Titillium" w:cs="Titillium"/>
        </w:rPr>
        <w:t>ć</w:t>
      </w:r>
      <w:r w:rsidRPr="007315AC">
        <w:rPr>
          <w:rFonts w:ascii="Titillium" w:hAnsi="Titillium"/>
        </w:rPr>
        <w:t xml:space="preserve"> ponadto informacj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/>
        </w:rPr>
        <w:t xml:space="preserve"> o wykorzystywanych na jej potrzeby instancjach bazy danych wraz z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podaniem dla ka</w:t>
      </w:r>
      <w:r w:rsidRPr="007315AC">
        <w:rPr>
          <w:rFonts w:ascii="Titillium" w:hAnsi="Titillium" w:cs="Titillium"/>
        </w:rPr>
        <w:t>ż</w:t>
      </w:r>
      <w:r w:rsidRPr="007315AC">
        <w:rPr>
          <w:rFonts w:ascii="Titillium" w:hAnsi="Titillium"/>
        </w:rPr>
        <w:t>dej bazy: nazwy, zastosowanego rozwiązania serwera baz danych SQL i przez które moduły testowanego oprogramowania dana baza jest wykorzystywana.</w:t>
      </w:r>
    </w:p>
    <w:p w14:paraId="09517E0C" w14:textId="77777777" w:rsidR="00A17422" w:rsidRPr="007315AC" w:rsidRDefault="00332E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/>
        </w:rPr>
        <w:t>Próbka musi zawierać na jednym dysku (dysk podstawowy) wszystkie systemy wskazane w ust. 2 oraz instrukcję, o której mowa w ust. 5</w:t>
      </w:r>
      <w:r w:rsidRPr="007315AC">
        <w:rPr>
          <w:rFonts w:ascii="Titillium" w:hAnsi="Titillium" w:cstheme="minorHAnsi"/>
        </w:rPr>
        <w:t>. Zamawiający dopuszcza zainstalowanie na dostarczonym dysku zewnętrznym więcej niż jednej maszyny wirtualnej.</w:t>
      </w:r>
      <w:r w:rsidRPr="007315AC">
        <w:rPr>
          <w:rFonts w:ascii="Titillium" w:hAnsi="Titillium"/>
        </w:rPr>
        <w:t xml:space="preserve"> Drugi dysk zewnętrzny (dysk zapasowy) powinien posiadać identyczną zawartość jak dysk podstawowy, ponieważ stanowi on jego kopię.</w:t>
      </w:r>
    </w:p>
    <w:p w14:paraId="165D392D" w14:textId="77777777" w:rsidR="00A17422" w:rsidRPr="007315AC" w:rsidRDefault="00332E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Wykonawca przekaże na dyskach przenośnych wirtualną maszynę z zainstalowanym systemem operacyjnym oraz oprogramowaniem, stanowiącym próbkę dostaw i usług wraz z przykładowymi danymi dostarczonymi przez Wykonawcę.</w:t>
      </w:r>
    </w:p>
    <w:p w14:paraId="11672A46" w14:textId="57BB1E15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 xml:space="preserve">W celu przeprowadzenia badania próbki, Zamawiający wezwie Wykonawcę </w:t>
      </w:r>
      <w:r w:rsidR="001E287A" w:rsidRPr="007315AC">
        <w:rPr>
          <w:rFonts w:ascii="Titillium" w:hAnsi="Titillium"/>
        </w:rPr>
        <w:t xml:space="preserve">do </w:t>
      </w:r>
      <w:r w:rsidRPr="007315AC">
        <w:rPr>
          <w:rFonts w:ascii="Titillium" w:hAnsi="Titillium"/>
        </w:rPr>
        <w:t>dokonania prezentacji zawartości próbki złożonej wraz z ofertą.</w:t>
      </w:r>
    </w:p>
    <w:p w14:paraId="3DCD7860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lastRenderedPageBreak/>
        <w:t>Prezentacja, o której mowa powyżej, zostanie przeprowadzona przez Wykonawcę w siedzibie Zamawiającego, zgodnie z procedurą określoną w Rozdziale 2 – Opis procedury badania.</w:t>
      </w:r>
    </w:p>
    <w:p w14:paraId="0E8FD684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Oceny czy oferowane dostawy (Oprogramowanie) odpowiadają wymaganiom określonym przez Zamawiającego dokona Komisja Przetargowa na podstawie prezentacji zawartości złożonej próbki przeprowadzonej przez Wykonawcę.</w:t>
      </w:r>
    </w:p>
    <w:p w14:paraId="3F253F0D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Termin (dzień i godzina) przeprowadzenia badania próbki podany zostanie Wykonawcy co najmniej na 5 dni przed planowanym terminem badania próbki. Wykonawca zostanie powiadomiony o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terminie prezentacji, z uwzgl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/>
        </w:rPr>
        <w:t>dnieniem zasad porozumiewania si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/>
        </w:rPr>
        <w:t xml:space="preserve"> Zamawiaj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/>
        </w:rPr>
        <w:t>cego z Wykonawc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/>
        </w:rPr>
        <w:t xml:space="preserve"> opisanych w SWZ.</w:t>
      </w:r>
    </w:p>
    <w:p w14:paraId="12F098F0" w14:textId="77777777" w:rsidR="00A17422" w:rsidRPr="007315AC" w:rsidRDefault="00332E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Dostarczenie sprawnych dysków przenośnych jest obowiązkiem Wykonawcy, a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 w:cstheme="minorHAnsi"/>
        </w:rPr>
        <w:t>ich parametry musz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 w:cstheme="minorHAnsi"/>
        </w:rPr>
        <w:t xml:space="preserve"> pozwala</w:t>
      </w:r>
      <w:r w:rsidRPr="007315AC">
        <w:rPr>
          <w:rFonts w:ascii="Titillium" w:hAnsi="Titillium" w:cs="Titillium"/>
        </w:rPr>
        <w:t>ć</w:t>
      </w:r>
      <w:r w:rsidRPr="007315AC">
        <w:rPr>
          <w:rFonts w:ascii="Titillium" w:hAnsi="Titillium" w:cstheme="minorHAnsi"/>
        </w:rPr>
        <w:t xml:space="preserve"> na sprawne funkcjonowanie wirtualnej maszyny z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 w:cstheme="minorHAnsi"/>
        </w:rPr>
        <w:t>zainstalowanym systemem operacyjnym, oferowanym oprogramowaniem systemu i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 w:cstheme="minorHAnsi"/>
        </w:rPr>
        <w:t>przyk</w:t>
      </w:r>
      <w:r w:rsidRPr="007315AC">
        <w:rPr>
          <w:rFonts w:ascii="Titillium" w:hAnsi="Titillium" w:cs="Titillium"/>
        </w:rPr>
        <w:t>ł</w:t>
      </w:r>
      <w:r w:rsidRPr="007315AC">
        <w:rPr>
          <w:rFonts w:ascii="Titillium" w:hAnsi="Titillium" w:cstheme="minorHAnsi"/>
        </w:rPr>
        <w:t>adowymi danymi.</w:t>
      </w:r>
    </w:p>
    <w:p w14:paraId="3327E00B" w14:textId="77777777" w:rsidR="00A17422" w:rsidRPr="007315AC" w:rsidRDefault="00332E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Zamawiający zaleca, aby dyski przenośne były złożone w kopercie z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 w:cstheme="minorHAnsi"/>
        </w:rPr>
        <w:t>oznakowaniem: Dysk 1 – dysk podstawowy – próbka; Dysk 2 – dysk zapasowy - próbka (kopia). Koperta powinna być opatrzona także nazwą i adresem Wykonawcy.</w:t>
      </w:r>
    </w:p>
    <w:p w14:paraId="1BCAC9F5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Niniejszy dokument nie zastępuje OPZ. Wymagania OPZ obowiązują w trakcie prezentacji próbki, tzn. sposób realizacji elementów scenariusza musi być spójny z OPZ i potwierdzać spełnienie wymagań OPZ w zakresie odpowiednim dla każdego elementu scenariusza.</w:t>
      </w:r>
    </w:p>
    <w:p w14:paraId="4DB28C2D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Jeżeli którakolwiek funkcjonalność nie zostanie zademonstrowana (nie zostanie zademonstrowany jeden krok w całości zgodnie z przedstawionymi scenariuszem lub też sposób jego realizacji będzie stał w sprzeczności z OPZ lub prezentacja kroku scenariusza ujawni braki w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funkcjonalno</w:t>
      </w:r>
      <w:r w:rsidRPr="007315AC">
        <w:rPr>
          <w:rFonts w:ascii="Titillium" w:hAnsi="Titillium" w:cs="Titillium"/>
        </w:rPr>
        <w:t>ś</w:t>
      </w:r>
      <w:r w:rsidRPr="007315AC">
        <w:rPr>
          <w:rFonts w:ascii="Titillium" w:hAnsi="Titillium"/>
        </w:rPr>
        <w:t>ci okre</w:t>
      </w:r>
      <w:r w:rsidRPr="007315AC">
        <w:rPr>
          <w:rFonts w:ascii="Titillium" w:hAnsi="Titillium" w:cs="Titillium"/>
        </w:rPr>
        <w:t>ś</w:t>
      </w:r>
      <w:r w:rsidRPr="007315AC">
        <w:rPr>
          <w:rFonts w:ascii="Titillium" w:hAnsi="Titillium"/>
        </w:rPr>
        <w:t>lonej w OPZ), Zamawiaj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/>
        </w:rPr>
        <w:t xml:space="preserve">cy uzna, </w:t>
      </w:r>
      <w:r w:rsidRPr="007315AC">
        <w:rPr>
          <w:rFonts w:ascii="Titillium" w:hAnsi="Titillium" w:cs="Titillium"/>
        </w:rPr>
        <w:t>ż</w:t>
      </w:r>
      <w:r w:rsidRPr="007315AC">
        <w:rPr>
          <w:rFonts w:ascii="Titillium" w:hAnsi="Titillium"/>
        </w:rPr>
        <w:t>e pr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/>
        </w:rPr>
        <w:t>bka zawiera błędy lub jest niekompletna i odrzuci ofertę.</w:t>
      </w:r>
    </w:p>
    <w:p w14:paraId="55B881D3" w14:textId="77777777" w:rsidR="00A17422" w:rsidRPr="007315AC" w:rsidRDefault="00332EA5">
      <w:pPr>
        <w:pStyle w:val="Akapitzlist"/>
        <w:numPr>
          <w:ilvl w:val="0"/>
          <w:numId w:val="3"/>
        </w:numPr>
        <w:jc w:val="both"/>
        <w:rPr>
          <w:rFonts w:ascii="Titillium" w:hAnsi="Titillium" w:cstheme="minorHAnsi"/>
        </w:rPr>
      </w:pPr>
      <w:r w:rsidRPr="007315AC">
        <w:rPr>
          <w:rFonts w:ascii="Titillium" w:hAnsi="Titillium"/>
        </w:rPr>
        <w:t>W przypadku, gdy Wykonawca nie stawi się na prezentację lub odmówi jej przeprowadzenia</w:t>
      </w:r>
      <w:r w:rsidRPr="007315AC">
        <w:rPr>
          <w:rFonts w:ascii="Titillium" w:hAnsi="Titillium"/>
        </w:rPr>
        <w:br/>
        <w:t>i w konsekwencji nie przeprowadzi prezentacji, wówczas Zamawiający uzna, że treść oferty tego Wykonawcy nie odpowiada treści Specyfikacji Warunków Zamówienia i oferta zostanie odrzucona.</w:t>
      </w:r>
    </w:p>
    <w:p w14:paraId="22594F93" w14:textId="0564682C" w:rsidR="00A17422" w:rsidRPr="007315AC" w:rsidRDefault="00332EA5" w:rsidP="001E287A">
      <w:pPr>
        <w:pStyle w:val="Nagwek1"/>
        <w:numPr>
          <w:ilvl w:val="0"/>
          <w:numId w:val="24"/>
        </w:numPr>
        <w:spacing w:before="80" w:after="80"/>
        <w:rPr>
          <w:rFonts w:ascii="Titillium" w:hAnsi="Titillium"/>
          <w:b/>
          <w:bCs/>
          <w:color w:val="auto"/>
          <w:sz w:val="22"/>
          <w:szCs w:val="22"/>
        </w:rPr>
      </w:pPr>
      <w:r w:rsidRPr="007315AC">
        <w:rPr>
          <w:rFonts w:ascii="Titillium" w:hAnsi="Titillium"/>
          <w:b/>
          <w:bCs/>
          <w:color w:val="auto"/>
          <w:sz w:val="22"/>
          <w:szCs w:val="22"/>
        </w:rPr>
        <w:t>Opis procedury badania.</w:t>
      </w:r>
    </w:p>
    <w:p w14:paraId="574E7EA9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Badanie próbki odbędzie się w siedzibie Zamawiającego z wykorzystaniem wirtualnej maszyny z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zainstalowanym systemem operacyjnym i oprogramowaniem wraz z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przyk</w:t>
      </w:r>
      <w:r w:rsidRPr="007315AC">
        <w:rPr>
          <w:rFonts w:ascii="Titillium" w:hAnsi="Titillium" w:cs="Titillium"/>
        </w:rPr>
        <w:t>ł</w:t>
      </w:r>
      <w:r w:rsidRPr="007315AC">
        <w:rPr>
          <w:rFonts w:ascii="Titillium" w:hAnsi="Titillium"/>
        </w:rPr>
        <w:t>adowymi danymi znajduj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/>
        </w:rPr>
        <w:t>cymi si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/>
        </w:rPr>
        <w:t xml:space="preserve"> na dysku przeno</w:t>
      </w:r>
      <w:r w:rsidRPr="007315AC">
        <w:rPr>
          <w:rFonts w:ascii="Titillium" w:hAnsi="Titillium" w:cs="Titillium"/>
        </w:rPr>
        <w:t>ś</w:t>
      </w:r>
      <w:r w:rsidRPr="007315AC">
        <w:rPr>
          <w:rFonts w:ascii="Titillium" w:hAnsi="Titillium"/>
        </w:rPr>
        <w:t>nym, dostarczonym przez Wykonawc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/>
        </w:rPr>
        <w:t xml:space="preserve"> i pod</w:t>
      </w:r>
      <w:r w:rsidRPr="007315AC">
        <w:rPr>
          <w:rFonts w:ascii="Titillium" w:hAnsi="Titillium" w:cs="Titillium"/>
        </w:rPr>
        <w:t>łą</w:t>
      </w:r>
      <w:r w:rsidRPr="007315AC">
        <w:rPr>
          <w:rFonts w:ascii="Titillium" w:hAnsi="Titillium"/>
        </w:rPr>
        <w:t>czonym do komputera. Wykonawca zapewni te</w:t>
      </w:r>
      <w:r w:rsidRPr="007315AC">
        <w:rPr>
          <w:rFonts w:ascii="Titillium" w:hAnsi="Titillium" w:cs="Titillium"/>
        </w:rPr>
        <w:t>ż</w:t>
      </w:r>
      <w:r w:rsidRPr="007315AC">
        <w:rPr>
          <w:rFonts w:ascii="Titillium" w:hAnsi="Titillium"/>
        </w:rPr>
        <w:t xml:space="preserve"> urz</w:t>
      </w:r>
      <w:r w:rsidRPr="007315AC">
        <w:rPr>
          <w:rFonts w:ascii="Titillium" w:hAnsi="Titillium" w:cs="Titillium"/>
        </w:rPr>
        <w:t>ą</w:t>
      </w:r>
      <w:r w:rsidRPr="007315AC">
        <w:rPr>
          <w:rFonts w:ascii="Titillium" w:hAnsi="Titillium"/>
        </w:rPr>
        <w:t>dzenia mobilne na kt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/>
        </w:rPr>
        <w:t>rych b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/>
        </w:rPr>
        <w:t>dzie przeprowadza</w:t>
      </w:r>
      <w:r w:rsidRPr="007315AC">
        <w:rPr>
          <w:rFonts w:ascii="Titillium" w:hAnsi="Titillium" w:cs="Titillium"/>
        </w:rPr>
        <w:t>ł</w:t>
      </w:r>
      <w:r w:rsidRPr="007315AC">
        <w:rPr>
          <w:rFonts w:ascii="Titillium" w:hAnsi="Titillium"/>
        </w:rPr>
        <w:t xml:space="preserve"> pr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/>
        </w:rPr>
        <w:t>bkowanie w zakresie wymaganym w scenariuszu oraz zapewni urządzenia peryferyjne (np. projektor multimedialny, czytnik kodów kreskowych). Dopuszczalne jest testowanie aplikacji/stron mobilnych w środowisku emulującym pracę tych urządzeń na komputerze służącym do próbkowania, pod warunkiem zgodności emulatora z ogólnodostępną na rynku wersją systemu (Android, IOS).</w:t>
      </w:r>
    </w:p>
    <w:p w14:paraId="795E0570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Każde badanie próbki będzie prowadzone według tego samego scenariusza.</w:t>
      </w:r>
    </w:p>
    <w:p w14:paraId="2703970B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 xml:space="preserve">Wykonawca, na godzinę przed wyznaczonym terminem badania próbki, otrzyma od Zamawiającego dysk przenośny i zapasowy, które dostarczył Zamawiającemu. </w:t>
      </w:r>
    </w:p>
    <w:p w14:paraId="4FC6567D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 xml:space="preserve">Zamawiający zapewni Wykonawcy na czas przeprowadzenia prezentacji próbki dostęp do Internetu lub zezwoli na wykorzystanie punktu dostępowego zapewnionego we własnym </w:t>
      </w:r>
      <w:r w:rsidRPr="007315AC">
        <w:rPr>
          <w:rFonts w:ascii="Titillium" w:hAnsi="Titillium"/>
        </w:rPr>
        <w:lastRenderedPageBreak/>
        <w:t>zakresie przez Wykonawcę (wybór należy do Wykonawcy). Korzystanie z połączenia internetowego jest dozwolone tylko i wyłącznie dla tych kroków scenariusza, gdzie wyraźnie to zaznaczono.</w:t>
      </w:r>
    </w:p>
    <w:p w14:paraId="06F0DCEB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Wykonawca zobowiązany jest do wyjaśnienia Zamawiającemu, że badana próbka oprogramowania posiada cechy i funkcjonalności wymagane do zaprezentowania zgodnie ze scenariuszem. Wykonawca zobowiązany jest do udzielenia Zamawiającemu wszelkich wyjaśnień umożliwiających zbadanie, czy oferowane oprogramowanie posiada wymagane cechy i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funkcjonalno</w:t>
      </w:r>
      <w:r w:rsidRPr="007315AC">
        <w:rPr>
          <w:rFonts w:ascii="Titillium" w:hAnsi="Titillium" w:cs="Titillium"/>
        </w:rPr>
        <w:t>ś</w:t>
      </w:r>
      <w:r w:rsidRPr="007315AC">
        <w:rPr>
          <w:rFonts w:ascii="Titillium" w:hAnsi="Titillium"/>
        </w:rPr>
        <w:t>ci. Badanie pr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/>
        </w:rPr>
        <w:t>bki b</w:t>
      </w:r>
      <w:r w:rsidRPr="007315AC">
        <w:rPr>
          <w:rFonts w:ascii="Titillium" w:hAnsi="Titillium" w:cs="Titillium"/>
        </w:rPr>
        <w:t>ę</w:t>
      </w:r>
      <w:r w:rsidRPr="007315AC">
        <w:rPr>
          <w:rFonts w:ascii="Titillium" w:hAnsi="Titillium"/>
        </w:rPr>
        <w:t>dzie prowadzone do momentu wyczerpania pytań Zamawiającego. W trakcie badania próbki Zamawiający ma prawo żądać od Wykonawcy zmiany wartości parametrów bądź danych wprowadzanych do oprogramowania na wartości podane przez Zamawiającego, w celu sprawdzenia, czy wymagane cechy i funkcjonalności nie są symulowane. Zamawiający ma ponadto prawo sprawdzać podczas badania próbki stan połączenia internetowego w celu sprawdzenia, czy prezentacja prowadzona jest w oparciu o złożoną próbkę, a nie zasoby zlokalizowane w sieci Internet.</w:t>
      </w:r>
    </w:p>
    <w:p w14:paraId="6157DF3D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 xml:space="preserve">W przypadku awarii/błędu oprogramowania lub dysku przenośnego, Wykonawca ma prawo do przerwy w badaniu próbki w celu naprawienia awarii/błędu lub podłączenia dysku zapasowego. W takim przypadku, sumaryczna przerwa w badaniu próbki nie może trwać dłużej niż 1 godzinę łącznie dla wszystkich awarii, które mogą wystąpić w toku prezentacji. Nieusunięcie awarii/błędu oprogramowania lub dysków przenośnych w trakcie przerwy powoduje zakończenie badania próbki. W takim wypadku Zamawiający uzna, że oprogramowanie nie posiada cech/funkcjonalności oprogramowania, określonych w opisie przedmiotu zamówienia, co spowoduje odrzucenie oferty. W przypadku awarii komputera, do którego jest podłączony dysk przenośny, Wykonawca ma prawo do przerwy w badaniu próbki w celu naprawy komputera lub podłączenia dysku do innego komputera. Zapewnienie sprawnego komputera należy do obowiązków Wykonawcy. </w:t>
      </w:r>
    </w:p>
    <w:p w14:paraId="031C0606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 xml:space="preserve">W przypadku awarii w funkcjonowaniu metody uwierzytelnienia za pośrednictwem profilu zaufanego nie leżącej po stronie Wykonawcy, Zamawiający wyznaczy dodatkowy termin na przeprowadzenie tych testów, które wymagają jej zastosowania na takich samych zasadach. </w:t>
      </w:r>
    </w:p>
    <w:p w14:paraId="651FC601" w14:textId="77777777" w:rsidR="00A17422" w:rsidRPr="007315AC" w:rsidRDefault="00332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tillium" w:hAnsi="Titillium" w:cstheme="minorHAnsi"/>
        </w:rPr>
      </w:pPr>
      <w:r w:rsidRPr="007315AC">
        <w:rPr>
          <w:rFonts w:ascii="Titillium" w:hAnsi="Titillium" w:cstheme="minorHAnsi"/>
        </w:rPr>
        <w:t>Prezentacja funkcji związanych z drukowaniem może być prezentowana poprzez wydruk do pliku PDF.</w:t>
      </w:r>
    </w:p>
    <w:p w14:paraId="0EFC0C8E" w14:textId="77777777" w:rsidR="00A17422" w:rsidRPr="007315AC" w:rsidRDefault="00332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Niniejszy dokument nie zastępuje OPZ. Wymagania OPZ obowiązują w trakcie prezentacji próbki, tzn. sposób realizacji elementów scenariusza musi być spójny z OPZ i potwierdzać spełnienie wymagań OPZ w zakresie odpowiednim dla elementu scenariusza. W szczególności powyższe dotyczy zakresu danych właściwych dla danego kroku demonstracji, kryteriów filtrowania i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sortowania itp.</w:t>
      </w:r>
    </w:p>
    <w:p w14:paraId="767A552F" w14:textId="77777777" w:rsidR="00A17422" w:rsidRPr="007315AC" w:rsidRDefault="00332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Protokół sporządzony z demonstracji będzie zawierać wskazanie, jakie oferowane przez Wykonawcę oprogramowanie zostało zademonstrowane dla danego scenariusza (nazwa oprogramowania i</w:t>
      </w:r>
      <w:r w:rsidRPr="007315AC">
        <w:rPr>
          <w:rFonts w:ascii="Calibri" w:hAnsi="Calibri" w:cs="Calibri"/>
        </w:rPr>
        <w:t> </w:t>
      </w:r>
      <w:r w:rsidRPr="007315AC">
        <w:rPr>
          <w:rFonts w:ascii="Titillium" w:hAnsi="Titillium"/>
        </w:rPr>
        <w:t>wskazanie autora / producenta) oraz wynik testu dla ka</w:t>
      </w:r>
      <w:r w:rsidRPr="007315AC">
        <w:rPr>
          <w:rFonts w:ascii="Titillium" w:hAnsi="Titillium" w:cs="Titillium"/>
        </w:rPr>
        <w:t>ż</w:t>
      </w:r>
      <w:r w:rsidRPr="007315AC">
        <w:rPr>
          <w:rFonts w:ascii="Titillium" w:hAnsi="Titillium"/>
        </w:rPr>
        <w:t>dego z krok</w:t>
      </w:r>
      <w:r w:rsidRPr="007315AC">
        <w:rPr>
          <w:rFonts w:ascii="Titillium" w:hAnsi="Titillium" w:cs="Titillium"/>
        </w:rPr>
        <w:t>ó</w:t>
      </w:r>
      <w:r w:rsidRPr="007315AC">
        <w:rPr>
          <w:rFonts w:ascii="Titillium" w:hAnsi="Titillium"/>
        </w:rPr>
        <w:t>w scenariusza.</w:t>
      </w:r>
    </w:p>
    <w:p w14:paraId="4E22F5B8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 xml:space="preserve">Zamawiający dopuszcza udział innych Wykonawców w prezentacji próbki jedynie w sytuacji, jeśli Wykonawca, który został wezwany do prezentacji próbki oferowanego systemu nie zastrzegł skutecznie, że próbka oprogramowania stanowi tajemnicę przedsiębiorstwa w </w:t>
      </w:r>
      <w:r w:rsidRPr="007315AC">
        <w:rPr>
          <w:rFonts w:ascii="Titillium" w:hAnsi="Titillium"/>
        </w:rPr>
        <w:lastRenderedPageBreak/>
        <w:t>rozumieniu przepisów ustawy Prawo zamówień publicznych oraz ustawy o zwalczaniu nieuczciwej konkurencji.</w:t>
      </w:r>
    </w:p>
    <w:p w14:paraId="2E39613F" w14:textId="77777777" w:rsidR="00A17422" w:rsidRPr="007315AC" w:rsidRDefault="00332EA5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W czasie prezentacji osoby prezentujące system informatyczny muszą posiadać pełnomocnictwo udzielone przez Wykonawcę do przeprowadzenia prezentacji. Pełnomocnictwo może wynikać z dokumentów złożonych w ofercie lub może być doręczone Zamawiającemu przed rozpoczęciem prezentacji w formie wskazanej w SWZ.</w:t>
      </w:r>
    </w:p>
    <w:p w14:paraId="634B60AE" w14:textId="2771ADAE" w:rsidR="004654CD" w:rsidRPr="007315AC" w:rsidRDefault="00332EA5" w:rsidP="007315AC">
      <w:pPr>
        <w:pStyle w:val="Akapitzlist"/>
        <w:numPr>
          <w:ilvl w:val="0"/>
          <w:numId w:val="4"/>
        </w:numPr>
        <w:jc w:val="both"/>
        <w:rPr>
          <w:rFonts w:ascii="Titillium" w:hAnsi="Titillium"/>
        </w:rPr>
      </w:pPr>
      <w:r w:rsidRPr="007315AC">
        <w:rPr>
          <w:rFonts w:ascii="Titillium" w:hAnsi="Titillium"/>
        </w:rPr>
        <w:t>Zamawiający zastrzega sobie możliwość utrwalania na sprzęcie audiowizualnym przebiegu prezentacji.</w:t>
      </w:r>
    </w:p>
    <w:p w14:paraId="033A8753" w14:textId="3F3EE575" w:rsidR="00735683" w:rsidRPr="007315AC" w:rsidRDefault="00735683" w:rsidP="00735683">
      <w:pPr>
        <w:pStyle w:val="Nagwek1"/>
        <w:numPr>
          <w:ilvl w:val="0"/>
          <w:numId w:val="24"/>
        </w:numPr>
        <w:spacing w:before="80" w:after="80"/>
        <w:rPr>
          <w:rFonts w:ascii="Titillium" w:hAnsi="Titillium"/>
          <w:color w:val="auto"/>
          <w:sz w:val="22"/>
          <w:szCs w:val="22"/>
        </w:rPr>
      </w:pPr>
      <w:r w:rsidRPr="007315AC">
        <w:rPr>
          <w:rFonts w:ascii="Titillium" w:hAnsi="Titillium"/>
          <w:b/>
          <w:bCs/>
          <w:color w:val="auto"/>
          <w:sz w:val="22"/>
          <w:szCs w:val="22"/>
        </w:rPr>
        <w:t>Scenariusz badania próbki</w:t>
      </w:r>
      <w:r w:rsidRPr="007315AC">
        <w:rPr>
          <w:rFonts w:ascii="Titillium" w:hAnsi="Titillium"/>
          <w:color w:val="auto"/>
          <w:sz w:val="22"/>
          <w:szCs w:val="22"/>
        </w:rPr>
        <w:t>.</w:t>
      </w:r>
    </w:p>
    <w:p w14:paraId="3ACF4383" w14:textId="0C872005" w:rsidR="002C46CB" w:rsidRPr="007315AC" w:rsidRDefault="00332EA5" w:rsidP="006E790F">
      <w:pPr>
        <w:pStyle w:val="Nagwek1"/>
        <w:spacing w:before="80" w:after="80"/>
        <w:rPr>
          <w:rFonts w:ascii="Titillium" w:hAnsi="Titillium" w:cs="Times New Roman"/>
          <w:b/>
          <w:bCs/>
          <w:color w:val="auto"/>
          <w:sz w:val="22"/>
          <w:szCs w:val="22"/>
        </w:rPr>
      </w:pPr>
      <w:r w:rsidRPr="007315AC">
        <w:rPr>
          <w:rFonts w:ascii="Titillium" w:hAnsi="Titillium"/>
          <w:b/>
          <w:bCs/>
          <w:color w:val="auto"/>
          <w:sz w:val="22"/>
          <w:szCs w:val="22"/>
        </w:rPr>
        <w:t>Scenariusz badania próbki</w:t>
      </w:r>
      <w:r w:rsidR="00735683" w:rsidRPr="007315AC">
        <w:rPr>
          <w:rFonts w:ascii="Titillium" w:hAnsi="Titillium"/>
          <w:b/>
          <w:bCs/>
          <w:color w:val="auto"/>
          <w:sz w:val="22"/>
          <w:szCs w:val="22"/>
        </w:rPr>
        <w:t xml:space="preserve"> dla o</w:t>
      </w:r>
      <w:r w:rsidR="00812569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>programowani</w:t>
      </w:r>
      <w:r w:rsidR="00735683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>a</w:t>
      </w:r>
      <w:r w:rsidR="00812569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 xml:space="preserve"> lub moduł</w:t>
      </w:r>
      <w:r w:rsidR="00735683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>u</w:t>
      </w:r>
      <w:r w:rsidR="00812569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 xml:space="preserve"> oprogramowania, które służyć będzie badaniu płynności finansowej Miasta Rydułtowy oraz k</w:t>
      </w:r>
      <w:r w:rsidR="002C46CB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>omunikacj</w:t>
      </w:r>
      <w:r w:rsidR="00812569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>i</w:t>
      </w:r>
      <w:r w:rsidR="002C46CB"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 xml:space="preserve"> pomiędzy Jednostką a Organem, w zakresie finansów Gminy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94"/>
        <w:gridCol w:w="7440"/>
        <w:gridCol w:w="1417"/>
      </w:tblGrid>
      <w:tr w:rsidR="004654CD" w:rsidRPr="007315AC" w14:paraId="54604DD3" w14:textId="77777777" w:rsidTr="00EE1283">
        <w:trPr>
          <w:trHeight w:val="57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100C0D" w14:textId="77777777" w:rsidR="002C46CB" w:rsidRPr="007315AC" w:rsidRDefault="002C46CB" w:rsidP="002C46CB">
            <w:pPr>
              <w:spacing w:after="0"/>
              <w:jc w:val="center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7315AC">
              <w:rPr>
                <w:rFonts w:ascii="Titillium" w:eastAsia="Calibri" w:hAnsi="Titillium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440" w:type="dxa"/>
            <w:shd w:val="clear" w:color="auto" w:fill="D9D9D9" w:themeFill="background1" w:themeFillShade="D9"/>
            <w:vAlign w:val="center"/>
          </w:tcPr>
          <w:p w14:paraId="17AAFDA1" w14:textId="77777777" w:rsidR="002C46CB" w:rsidRPr="007315AC" w:rsidRDefault="002C46CB" w:rsidP="002C46CB">
            <w:pPr>
              <w:spacing w:after="0"/>
              <w:jc w:val="center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7315AC">
              <w:rPr>
                <w:rFonts w:ascii="Titillium" w:eastAsia="Calibri" w:hAnsi="Titillium" w:cs="Times New Roman"/>
                <w:b/>
                <w:bCs/>
                <w:sz w:val="22"/>
                <w:szCs w:val="22"/>
              </w:rPr>
              <w:t>Zakres prezentacji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D0D817" w14:textId="77777777" w:rsidR="002C46CB" w:rsidRPr="007315AC" w:rsidRDefault="002C46CB" w:rsidP="002C46CB">
            <w:pPr>
              <w:spacing w:after="0"/>
              <w:jc w:val="center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7315AC">
              <w:rPr>
                <w:rFonts w:ascii="Titillium" w:eastAsia="Calibri" w:hAnsi="Titillium" w:cs="Times New Roman"/>
                <w:b/>
                <w:bCs/>
                <w:sz w:val="22"/>
                <w:szCs w:val="22"/>
              </w:rPr>
              <w:t>Wynik testu</w:t>
            </w:r>
          </w:p>
          <w:p w14:paraId="07FEB297" w14:textId="77777777" w:rsidR="002C46CB" w:rsidRPr="007315AC" w:rsidRDefault="002C46CB" w:rsidP="002C46CB">
            <w:pPr>
              <w:spacing w:after="0"/>
              <w:jc w:val="center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7315AC">
              <w:rPr>
                <w:rFonts w:ascii="Titillium" w:eastAsia="Calibri" w:hAnsi="Titillium" w:cs="Times New Roman"/>
                <w:b/>
                <w:bCs/>
                <w:sz w:val="22"/>
                <w:szCs w:val="22"/>
              </w:rPr>
              <w:t>spełnienie wymogów</w:t>
            </w:r>
          </w:p>
          <w:p w14:paraId="5116023A" w14:textId="77777777" w:rsidR="002C46CB" w:rsidRPr="007315AC" w:rsidRDefault="002C46CB" w:rsidP="002C46CB">
            <w:pPr>
              <w:spacing w:after="0"/>
              <w:jc w:val="center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7315AC">
              <w:rPr>
                <w:rFonts w:ascii="Titillium" w:eastAsia="Calibri" w:hAnsi="Titillium" w:cs="Times New Roman"/>
                <w:b/>
                <w:bCs/>
                <w:sz w:val="22"/>
                <w:szCs w:val="22"/>
              </w:rPr>
              <w:t>TAK/NIE</w:t>
            </w:r>
          </w:p>
        </w:tc>
      </w:tr>
      <w:tr w:rsidR="004654CD" w:rsidRPr="007315AC" w14:paraId="3D0A6CD5" w14:textId="77777777" w:rsidTr="00EE1283">
        <w:trPr>
          <w:trHeight w:val="57"/>
        </w:trPr>
        <w:tc>
          <w:tcPr>
            <w:tcW w:w="494" w:type="dxa"/>
          </w:tcPr>
          <w:p w14:paraId="0D9680EE" w14:textId="77777777" w:rsidR="002C46CB" w:rsidRPr="007315AC" w:rsidRDefault="002C46CB" w:rsidP="002C46CB">
            <w:pPr>
              <w:spacing w:after="0"/>
              <w:rPr>
                <w:rFonts w:ascii="Titillium" w:hAnsi="Titillium" w:cstheme="minorHAnsi"/>
                <w:sz w:val="22"/>
                <w:szCs w:val="22"/>
              </w:rPr>
            </w:pPr>
            <w:r w:rsidRPr="007315AC">
              <w:rPr>
                <w:rFonts w:ascii="Titillium" w:eastAsia="Calibri" w:hAnsi="Titillium" w:cstheme="minorHAnsi"/>
                <w:sz w:val="22"/>
                <w:szCs w:val="22"/>
              </w:rPr>
              <w:t>1.</w:t>
            </w:r>
          </w:p>
        </w:tc>
        <w:tc>
          <w:tcPr>
            <w:tcW w:w="7440" w:type="dxa"/>
          </w:tcPr>
          <w:p w14:paraId="540A9DC9" w14:textId="77777777" w:rsidR="002C46CB" w:rsidRPr="007315AC" w:rsidRDefault="002C46CB" w:rsidP="002C46CB">
            <w:pPr>
              <w:suppressAutoHyphens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 xml:space="preserve">Uruchamiając interfejs aplikacji w ramach przeglądarki </w:t>
            </w:r>
            <w:proofErr w:type="spellStart"/>
            <w:r w:rsidRPr="007315AC">
              <w:rPr>
                <w:rFonts w:ascii="Titillium" w:hAnsi="Titillium" w:cs="Times New Roman"/>
                <w:sz w:val="22"/>
                <w:szCs w:val="22"/>
              </w:rPr>
              <w:t>Firefox</w:t>
            </w:r>
            <w:proofErr w:type="spellEnd"/>
            <w:r w:rsidRPr="007315AC">
              <w:rPr>
                <w:rFonts w:ascii="Titillium" w:hAnsi="Titillium" w:cs="Times New Roman"/>
                <w:sz w:val="22"/>
                <w:szCs w:val="22"/>
              </w:rPr>
              <w:t xml:space="preserve"> lub Google Chrome należy przedstawić:</w:t>
            </w:r>
          </w:p>
          <w:p w14:paraId="36540E73" w14:textId="77777777" w:rsidR="002C46CB" w:rsidRPr="007315AC" w:rsidRDefault="002C46CB" w:rsidP="002C46CB">
            <w:pPr>
              <w:suppressAutoHyphens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Komunikację pomiędzy jednostką a organem w zakresie sprawozdawczości budżetowej w tym:</w:t>
            </w:r>
          </w:p>
          <w:p w14:paraId="51BB10DE" w14:textId="77777777" w:rsidR="002C46CB" w:rsidRPr="007315AC" w:rsidRDefault="002C46CB" w:rsidP="002C46C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Jednostka/Wydział: wgląd w aktualny plan budżetowy;</w:t>
            </w:r>
          </w:p>
          <w:p w14:paraId="1082EC3E" w14:textId="77777777" w:rsidR="002C46CB" w:rsidRPr="007315AC" w:rsidRDefault="002C46CB" w:rsidP="002C46C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Jednostka: Import sprawozdania z systemu finansowo księgowego;</w:t>
            </w:r>
          </w:p>
          <w:p w14:paraId="09ADC6F7" w14:textId="47EA7501" w:rsidR="002C46CB" w:rsidRPr="007315AC" w:rsidRDefault="002C46CB" w:rsidP="002C46C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Jednostka: złożenie elektronicznego sprawozdania budżetowego: Rb27s lub Rb28s,</w:t>
            </w:r>
          </w:p>
          <w:p w14:paraId="6AB6AD4C" w14:textId="77777777" w:rsidR="002C46CB" w:rsidRPr="007315AC" w:rsidRDefault="002C46CB" w:rsidP="002C46C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Jednostka: podpisanie elektroniczne sprawozdania przed wysyłką (ze względu na możliwe trudności techniczne prezentacja funkcjonalności – podpisania sprawozdania może się odbyć w zakresie prezentacji możliwości);</w:t>
            </w:r>
          </w:p>
          <w:p w14:paraId="7D2325F5" w14:textId="77777777" w:rsidR="002C46CB" w:rsidRPr="007315AC" w:rsidRDefault="002C46CB" w:rsidP="002C46CB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tworzenie sprawozdań zbiorczych na podstawie złożonych sprawozdań jednostkowych</w:t>
            </w:r>
          </w:p>
          <w:p w14:paraId="61DCE5CD" w14:textId="487410AE" w:rsidR="002C46CB" w:rsidRPr="007315AC" w:rsidRDefault="002C46CB" w:rsidP="002C46CB">
            <w:pPr>
              <w:spacing w:after="0"/>
              <w:jc w:val="both"/>
              <w:rPr>
                <w:rFonts w:ascii="Titillium" w:hAnsi="Titillium" w:cstheme="minorHAnsi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 xml:space="preserve">Organ: Możliwość wysyłki sprawozdań zbiorczych do systemu </w:t>
            </w:r>
            <w:proofErr w:type="spellStart"/>
            <w:r w:rsidRPr="007315AC">
              <w:rPr>
                <w:rFonts w:ascii="Titillium" w:hAnsi="Titillium" w:cs="Times New Roman"/>
                <w:sz w:val="22"/>
                <w:szCs w:val="22"/>
              </w:rPr>
              <w:t>Besti</w:t>
            </w:r>
            <w:proofErr w:type="spellEnd"/>
            <w:r w:rsidRPr="007315AC">
              <w:rPr>
                <w:rFonts w:ascii="Titillium" w:hAnsi="Titillium" w:cs="Times New Roman"/>
                <w:sz w:val="22"/>
                <w:szCs w:val="22"/>
              </w:rPr>
              <w:t>@ (Zamawiający uwzględni techniczne ograniczenia wynikające z próbki)</w:t>
            </w:r>
          </w:p>
        </w:tc>
        <w:tc>
          <w:tcPr>
            <w:tcW w:w="1417" w:type="dxa"/>
          </w:tcPr>
          <w:p w14:paraId="7268E447" w14:textId="77777777" w:rsidR="002C46CB" w:rsidRPr="007315AC" w:rsidRDefault="002C46CB" w:rsidP="002C46CB">
            <w:pPr>
              <w:spacing w:after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654CD" w:rsidRPr="007315AC" w14:paraId="3E83254F" w14:textId="77777777" w:rsidTr="00EE1283">
        <w:trPr>
          <w:trHeight w:val="57"/>
        </w:trPr>
        <w:tc>
          <w:tcPr>
            <w:tcW w:w="494" w:type="dxa"/>
          </w:tcPr>
          <w:p w14:paraId="53FDF6BA" w14:textId="77777777" w:rsidR="002C46CB" w:rsidRPr="007315AC" w:rsidRDefault="002C46CB" w:rsidP="002C46CB">
            <w:pPr>
              <w:spacing w:after="0"/>
              <w:rPr>
                <w:rFonts w:ascii="Titillium" w:hAnsi="Titillium" w:cstheme="minorHAnsi"/>
                <w:sz w:val="22"/>
                <w:szCs w:val="22"/>
              </w:rPr>
            </w:pPr>
            <w:r w:rsidRPr="007315AC">
              <w:rPr>
                <w:rFonts w:ascii="Titillium" w:eastAsia="Calibri" w:hAnsi="Titillium" w:cstheme="minorHAnsi"/>
                <w:sz w:val="22"/>
                <w:szCs w:val="22"/>
              </w:rPr>
              <w:t>2.</w:t>
            </w:r>
          </w:p>
        </w:tc>
        <w:tc>
          <w:tcPr>
            <w:tcW w:w="7440" w:type="dxa"/>
          </w:tcPr>
          <w:p w14:paraId="40E73DB1" w14:textId="77777777" w:rsidR="002C46CB" w:rsidRPr="007315AC" w:rsidRDefault="002C46CB" w:rsidP="002C46CB">
            <w:pPr>
              <w:suppressAutoHyphens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Komunikację pomiędzy jednostką a organem w zakresie zmian planu w tym:</w:t>
            </w:r>
          </w:p>
          <w:p w14:paraId="023676DD" w14:textId="77777777" w:rsidR="002C46CB" w:rsidRPr="007315AC" w:rsidRDefault="002C46CB" w:rsidP="002C46CB">
            <w:pPr>
              <w:pStyle w:val="Akapitzlist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Jednostka/Wydział: złożenie elektronicznego wniosku o zmianę planu;</w:t>
            </w:r>
          </w:p>
          <w:p w14:paraId="7E7A9B4D" w14:textId="77777777" w:rsidR="002C46CB" w:rsidRPr="007315AC" w:rsidRDefault="002C46CB" w:rsidP="002C46CB">
            <w:pPr>
              <w:pStyle w:val="Akapitzlist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Import złożonego powyżej wniosku do systemu obsługującego budżet gminy</w:t>
            </w:r>
          </w:p>
          <w:p w14:paraId="50EF251F" w14:textId="40A4E0D2" w:rsidR="002C46CB" w:rsidRPr="007315AC" w:rsidRDefault="002C46CB" w:rsidP="002C46CB">
            <w:pPr>
              <w:spacing w:after="0" w:line="276" w:lineRule="auto"/>
              <w:jc w:val="both"/>
              <w:rPr>
                <w:rFonts w:ascii="Titillium" w:hAnsi="Titillium" w:cstheme="minorHAnsi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tworzenie na podstawie wniosków projektów uchwał i zarządzeń zmieniających plan wraz z odpowiednimi załącznikami;</w:t>
            </w:r>
          </w:p>
        </w:tc>
        <w:tc>
          <w:tcPr>
            <w:tcW w:w="1417" w:type="dxa"/>
          </w:tcPr>
          <w:p w14:paraId="016FF127" w14:textId="77777777" w:rsidR="002C46CB" w:rsidRPr="007315AC" w:rsidRDefault="002C46CB" w:rsidP="002C46CB">
            <w:pPr>
              <w:spacing w:after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654CD" w:rsidRPr="007315AC" w14:paraId="0C62E788" w14:textId="77777777" w:rsidTr="00EE1283">
        <w:trPr>
          <w:trHeight w:val="57"/>
        </w:trPr>
        <w:tc>
          <w:tcPr>
            <w:tcW w:w="494" w:type="dxa"/>
          </w:tcPr>
          <w:p w14:paraId="6C170BF8" w14:textId="22A501D1" w:rsidR="002C46CB" w:rsidRPr="007315AC" w:rsidRDefault="00812569" w:rsidP="002C46CB">
            <w:pPr>
              <w:spacing w:after="0"/>
              <w:rPr>
                <w:rFonts w:ascii="Titillium" w:eastAsia="Calibri" w:hAnsi="Titillium" w:cstheme="minorHAnsi"/>
                <w:sz w:val="22"/>
                <w:szCs w:val="22"/>
              </w:rPr>
            </w:pPr>
            <w:r w:rsidRPr="007315AC">
              <w:rPr>
                <w:rFonts w:ascii="Titillium" w:eastAsia="Calibri" w:hAnsi="Titillium" w:cstheme="minorHAnsi"/>
                <w:sz w:val="22"/>
                <w:szCs w:val="22"/>
              </w:rPr>
              <w:t>3.</w:t>
            </w:r>
          </w:p>
        </w:tc>
        <w:tc>
          <w:tcPr>
            <w:tcW w:w="7440" w:type="dxa"/>
          </w:tcPr>
          <w:p w14:paraId="1051AED6" w14:textId="77777777" w:rsidR="002C46CB" w:rsidRPr="007315AC" w:rsidRDefault="002C46CB" w:rsidP="002C46CB">
            <w:pPr>
              <w:suppressAutoHyphens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Wymagania dotyczące: poufności, integralności, dostępności danych:</w:t>
            </w:r>
          </w:p>
          <w:p w14:paraId="28ACF35A" w14:textId="77777777" w:rsidR="002C46CB" w:rsidRPr="007315AC" w:rsidRDefault="002C46CB" w:rsidP="002C46CB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lastRenderedPageBreak/>
              <w:t>Działania Organu jak i Jednostki muszą bazować na tych samych dokumentach elektronicznych (integralność systemu na poziomie danych/dokumentów)</w:t>
            </w:r>
          </w:p>
          <w:p w14:paraId="4B3311EB" w14:textId="0E009299" w:rsidR="002C46CB" w:rsidRPr="007315AC" w:rsidRDefault="002C46CB" w:rsidP="002C46CB">
            <w:pPr>
              <w:spacing w:after="0" w:line="276" w:lineRule="auto"/>
              <w:jc w:val="both"/>
              <w:rPr>
                <w:rFonts w:ascii="Titillium" w:eastAsia="Calibri" w:hAnsi="Titillium" w:cstheme="minorHAnsi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Ograniczenia dostępu do danych/ rejestrów w zależności od roli użytkownika i jego umiejscowienia w organizacji miasta.</w:t>
            </w:r>
          </w:p>
        </w:tc>
        <w:tc>
          <w:tcPr>
            <w:tcW w:w="1417" w:type="dxa"/>
          </w:tcPr>
          <w:p w14:paraId="014342B6" w14:textId="77777777" w:rsidR="002C46CB" w:rsidRPr="007315AC" w:rsidRDefault="002C46CB" w:rsidP="002C46CB">
            <w:pPr>
              <w:spacing w:after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654CD" w:rsidRPr="007315AC" w14:paraId="42F7B180" w14:textId="77777777" w:rsidTr="00EE1283">
        <w:trPr>
          <w:trHeight w:val="57"/>
        </w:trPr>
        <w:tc>
          <w:tcPr>
            <w:tcW w:w="494" w:type="dxa"/>
          </w:tcPr>
          <w:p w14:paraId="002EF1D2" w14:textId="77777777" w:rsidR="002C46CB" w:rsidRPr="007315AC" w:rsidRDefault="002C46CB" w:rsidP="002C46CB">
            <w:pPr>
              <w:spacing w:after="0"/>
              <w:rPr>
                <w:rFonts w:ascii="Titillium" w:eastAsia="Calibri" w:hAnsi="Titillium" w:cstheme="minorHAnsi"/>
                <w:sz w:val="22"/>
                <w:szCs w:val="22"/>
              </w:rPr>
            </w:pPr>
          </w:p>
        </w:tc>
        <w:tc>
          <w:tcPr>
            <w:tcW w:w="7440" w:type="dxa"/>
          </w:tcPr>
          <w:p w14:paraId="4704B553" w14:textId="77777777" w:rsidR="002C46CB" w:rsidRPr="007315AC" w:rsidRDefault="002C46CB" w:rsidP="002C46CB">
            <w:pPr>
              <w:suppressAutoHyphens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Wymagania w zakresie komunikacji pomiędzy organem a jednostką w zakresie wnioskowania o środki budżetowe:</w:t>
            </w:r>
          </w:p>
          <w:p w14:paraId="1AACFE68" w14:textId="77777777" w:rsidR="002C46CB" w:rsidRPr="007315AC" w:rsidRDefault="002C46CB" w:rsidP="002C46CB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Jednostka: Możliwość złożenie wniosku o środki budżetowe do konkretnego dnia miesiąca poprzedzającego miesiąc, jakiego dotyczy wniosek. Wniosek musi zawierać min. harmonogram (terminy) wszystkich oczekiwanych przez jednostkę przelewów w miesiącu.</w:t>
            </w:r>
          </w:p>
          <w:p w14:paraId="79A899AB" w14:textId="77777777" w:rsidR="002C46CB" w:rsidRPr="007315AC" w:rsidRDefault="002C46CB" w:rsidP="002C46CB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Jednostka: Przekazanie wniosku podpisanego podpisem kwalifikowanym do budżetu Gminy (zmiana statusu – zakończenie pracy nad wnioskiem). Dane o podpisie (składający, data) muszą być dostępne celem weryfikacji oraz widoczne na formatce wydruku wniosku. Od tego momentu wniosek nie może podlegać modyfikacjom na poziomie jednostki.</w:t>
            </w:r>
          </w:p>
          <w:p w14:paraId="541C36AC" w14:textId="77777777" w:rsidR="002C46CB" w:rsidRPr="007315AC" w:rsidRDefault="002C46CB" w:rsidP="002C46CB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Tworzenie miesięcznych harmonogramów płatności na podstawie wniosków przekazanych przez jednostki i zatwierdzonych na poziomie organu</w:t>
            </w:r>
          </w:p>
          <w:p w14:paraId="596A4092" w14:textId="77777777" w:rsidR="002C46CB" w:rsidRPr="007315AC" w:rsidRDefault="002C46CB" w:rsidP="002C46CB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prezentacja dostępnych środków na rachunku bankowym z dokładnością do każdego dnia miesiąca</w:t>
            </w:r>
          </w:p>
          <w:p w14:paraId="5C3C03F1" w14:textId="77777777" w:rsidR="002C46CB" w:rsidRPr="007315AC" w:rsidRDefault="002C46CB" w:rsidP="002C46CB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możliwość wprowadzania doraźnych korekt w miesięcznym harmonogramie płatności</w:t>
            </w:r>
          </w:p>
          <w:p w14:paraId="05702BC4" w14:textId="77777777" w:rsidR="002C46CB" w:rsidRPr="007315AC" w:rsidRDefault="002C46CB" w:rsidP="002C46CB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tillium" w:hAnsi="Titillium" w:cs="Times New Roman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Wniosek zatwierdzony na poziomie Organu będzie podstawą do uwzględnienia w miesięcznym harmonogramie płatności.</w:t>
            </w:r>
          </w:p>
          <w:p w14:paraId="23FFA6B6" w14:textId="3B4BB14E" w:rsidR="002C46CB" w:rsidRPr="007315AC" w:rsidRDefault="002C46CB" w:rsidP="002C46CB">
            <w:pPr>
              <w:spacing w:after="0" w:line="276" w:lineRule="auto"/>
              <w:jc w:val="both"/>
              <w:rPr>
                <w:rFonts w:ascii="Titillium" w:eastAsia="Calibri" w:hAnsi="Titillium" w:cstheme="minorHAnsi"/>
                <w:sz w:val="22"/>
                <w:szCs w:val="22"/>
              </w:rPr>
            </w:pPr>
            <w:r w:rsidRPr="007315AC">
              <w:rPr>
                <w:rFonts w:ascii="Titillium" w:hAnsi="Titillium" w:cs="Times New Roman"/>
                <w:sz w:val="22"/>
                <w:szCs w:val="22"/>
              </w:rPr>
              <w:t>Organ: Plik zawierający polecenia przelewu w formacie akceptowanym przez program bankowy zostanie wygenerowany i wysłany do aplikacji bankowej za pośrednictwem modułu obsługującego przelewy.</w:t>
            </w:r>
          </w:p>
        </w:tc>
        <w:tc>
          <w:tcPr>
            <w:tcW w:w="1417" w:type="dxa"/>
          </w:tcPr>
          <w:p w14:paraId="21AB480C" w14:textId="77777777" w:rsidR="002C46CB" w:rsidRPr="007315AC" w:rsidRDefault="002C46CB" w:rsidP="002C46CB">
            <w:pPr>
              <w:spacing w:after="0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4074C0B9" w14:textId="164B40B5" w:rsidR="00A17422" w:rsidRPr="007315AC" w:rsidRDefault="002C46CB" w:rsidP="00735683">
      <w:pPr>
        <w:rPr>
          <w:rFonts w:ascii="Titillium" w:hAnsi="Titillium"/>
        </w:rPr>
      </w:pPr>
      <w:r w:rsidRPr="007315AC">
        <w:rPr>
          <w:rFonts w:ascii="Titillium" w:hAnsi="Titillium"/>
        </w:rPr>
        <w:tab/>
      </w:r>
    </w:p>
    <w:p w14:paraId="3CA07E9C" w14:textId="3B68554D" w:rsidR="00735683" w:rsidRPr="007315AC" w:rsidRDefault="00735683" w:rsidP="006E790F">
      <w:pPr>
        <w:pStyle w:val="Nagwek1"/>
        <w:spacing w:before="80" w:after="80"/>
        <w:rPr>
          <w:rFonts w:ascii="Titillium" w:hAnsi="Titillium" w:cs="Times New Roman"/>
          <w:b/>
          <w:bCs/>
          <w:color w:val="auto"/>
          <w:sz w:val="22"/>
          <w:szCs w:val="22"/>
        </w:rPr>
      </w:pPr>
      <w:r w:rsidRPr="007315AC">
        <w:rPr>
          <w:rFonts w:ascii="Titillium" w:hAnsi="Titillium"/>
          <w:b/>
          <w:bCs/>
          <w:color w:val="auto"/>
          <w:sz w:val="22"/>
          <w:szCs w:val="22"/>
        </w:rPr>
        <w:t>Scenariusz badania próbki dla o</w:t>
      </w:r>
      <w:r w:rsidRPr="007315AC">
        <w:rPr>
          <w:rFonts w:ascii="Titillium" w:hAnsi="Titillium" w:cs="Times New Roman"/>
          <w:b/>
          <w:bCs/>
          <w:color w:val="auto"/>
          <w:sz w:val="22"/>
          <w:szCs w:val="22"/>
        </w:rPr>
        <w:t>programowania dla potrzeb Zakładu Gospodarki Komunalnej w Rydułtowach</w:t>
      </w:r>
    </w:p>
    <w:p w14:paraId="62CDBF95" w14:textId="77777777" w:rsidR="006E790F" w:rsidRPr="007315AC" w:rsidRDefault="006E790F" w:rsidP="006E790F">
      <w:pPr>
        <w:rPr>
          <w:rFonts w:ascii="Titillium" w:hAnsi="Titillium"/>
        </w:rPr>
      </w:pPr>
      <w:r w:rsidRPr="007315AC">
        <w:rPr>
          <w:rFonts w:ascii="Titillium" w:hAnsi="Titillium"/>
        </w:rPr>
        <w:t>Na potrzeby właściwego przebiegu weryfikacji próbki Dostawca dostarczy wraz z oprogramowaniem bazę zasiloną przykładowymi danymi zawierającymi:</w:t>
      </w:r>
    </w:p>
    <w:p w14:paraId="0A3BB589" w14:textId="74AB8F6B" w:rsidR="006E790F" w:rsidRPr="007315AC" w:rsidRDefault="006E790F" w:rsidP="006A3BD4">
      <w:pPr>
        <w:pStyle w:val="Akapitzlist"/>
        <w:numPr>
          <w:ilvl w:val="0"/>
          <w:numId w:val="34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5 pracowników, gdzie każdy będzie miał przypisane informacje o:</w:t>
      </w:r>
    </w:p>
    <w:p w14:paraId="2FB00CA8" w14:textId="77777777" w:rsidR="006E790F" w:rsidRPr="007315AC" w:rsidRDefault="006E790F" w:rsidP="006E790F">
      <w:pPr>
        <w:pStyle w:val="Akapitzlist"/>
        <w:numPr>
          <w:ilvl w:val="1"/>
          <w:numId w:val="32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Danych ewidencyjnych</w:t>
      </w:r>
    </w:p>
    <w:p w14:paraId="0FE2523D" w14:textId="77777777" w:rsidR="006E790F" w:rsidRPr="007315AC" w:rsidRDefault="006E790F" w:rsidP="006E790F">
      <w:pPr>
        <w:pStyle w:val="Akapitzlist"/>
        <w:numPr>
          <w:ilvl w:val="1"/>
          <w:numId w:val="32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Danych adresowych</w:t>
      </w:r>
    </w:p>
    <w:p w14:paraId="7879B364" w14:textId="77777777" w:rsidR="006E790F" w:rsidRPr="007315AC" w:rsidRDefault="006E790F" w:rsidP="006E790F">
      <w:pPr>
        <w:pStyle w:val="Akapitzlist"/>
        <w:numPr>
          <w:ilvl w:val="1"/>
          <w:numId w:val="32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Danych osobowych</w:t>
      </w:r>
    </w:p>
    <w:p w14:paraId="6FE3FD3C" w14:textId="77777777" w:rsidR="006E790F" w:rsidRPr="007315AC" w:rsidRDefault="006E790F" w:rsidP="006E790F">
      <w:pPr>
        <w:pStyle w:val="Akapitzlist"/>
        <w:numPr>
          <w:ilvl w:val="1"/>
          <w:numId w:val="32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Historii zatrudnienia w poprzednich zakładach pracy (co najmniej 2 dla każdego użytkownika)</w:t>
      </w:r>
    </w:p>
    <w:p w14:paraId="1876D505" w14:textId="77777777" w:rsidR="006E790F" w:rsidRPr="007315AC" w:rsidRDefault="006E790F" w:rsidP="006E790F">
      <w:pPr>
        <w:pStyle w:val="Akapitzlist"/>
        <w:numPr>
          <w:ilvl w:val="1"/>
          <w:numId w:val="32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Stawce</w:t>
      </w:r>
    </w:p>
    <w:p w14:paraId="21D6DBCA" w14:textId="77777777" w:rsidR="006E790F" w:rsidRPr="007315AC" w:rsidRDefault="006E790F" w:rsidP="006E790F">
      <w:pPr>
        <w:pStyle w:val="Akapitzlist"/>
        <w:numPr>
          <w:ilvl w:val="1"/>
          <w:numId w:val="32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Stanowisku pracy</w:t>
      </w:r>
    </w:p>
    <w:p w14:paraId="4ABA85FC" w14:textId="77777777" w:rsidR="006E790F" w:rsidRPr="007315AC" w:rsidRDefault="006E790F" w:rsidP="006E790F">
      <w:pPr>
        <w:pStyle w:val="Akapitzlist"/>
        <w:numPr>
          <w:ilvl w:val="1"/>
          <w:numId w:val="32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Wprowadzoną strukturę organizacyjną</w:t>
      </w:r>
    </w:p>
    <w:p w14:paraId="70B2F7D3" w14:textId="77777777" w:rsidR="006E790F" w:rsidRPr="007315AC" w:rsidRDefault="006E790F" w:rsidP="006E790F">
      <w:pPr>
        <w:pStyle w:val="Nagwek2"/>
        <w:rPr>
          <w:rFonts w:ascii="Titillium" w:hAnsi="Titillium"/>
          <w:color w:val="auto"/>
          <w:sz w:val="22"/>
          <w:szCs w:val="22"/>
        </w:rPr>
      </w:pPr>
      <w:r w:rsidRPr="007315AC">
        <w:rPr>
          <w:rFonts w:ascii="Titillium" w:hAnsi="Titillium"/>
          <w:color w:val="auto"/>
          <w:sz w:val="22"/>
          <w:szCs w:val="22"/>
        </w:rPr>
        <w:lastRenderedPageBreak/>
        <w:t>Wymagania dotyczące systemów kadrowych.</w:t>
      </w:r>
    </w:p>
    <w:p w14:paraId="1CDA4D58" w14:textId="77777777" w:rsidR="006E790F" w:rsidRPr="007315AC" w:rsidRDefault="006E790F" w:rsidP="006E790F">
      <w:pPr>
        <w:pStyle w:val="Akapitzlist"/>
        <w:numPr>
          <w:ilvl w:val="0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Możliwość budowy zestawień tabelarycznych według kryteriów użytkownika i eksport do formatu .xls:</w:t>
      </w:r>
    </w:p>
    <w:p w14:paraId="7DD5EDD3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zbudować zestawienie tabelaryczne  prezentujące dane (etat, stanowisko, stawkę, wiek), według stanu aktualnego oraz na podany dzień w historii.</w:t>
      </w:r>
    </w:p>
    <w:p w14:paraId="1311B516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  <w:i/>
          <w:iCs/>
        </w:rPr>
      </w:pPr>
      <w:r w:rsidRPr="007315AC">
        <w:rPr>
          <w:rFonts w:ascii="Titillium" w:hAnsi="Titillium"/>
        </w:rPr>
        <w:t xml:space="preserve">Wyeksportować wygenerowane zestawienie do pliku formatu .xls </w:t>
      </w:r>
      <w:r w:rsidRPr="007315AC">
        <w:rPr>
          <w:rFonts w:ascii="Titillium" w:hAnsi="Titillium"/>
          <w:i/>
          <w:iCs/>
        </w:rPr>
        <w:t>(lub innego obsługiwanego przez oprogramowanie arkusza kalkulacyjnego)</w:t>
      </w:r>
    </w:p>
    <w:p w14:paraId="295CC32B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Przedstawienie zestawienia w programie w formie arkusza kalkulacyjnego</w:t>
      </w:r>
    </w:p>
    <w:p w14:paraId="66B8089C" w14:textId="77777777" w:rsidR="006E790F" w:rsidRPr="007315AC" w:rsidRDefault="006E790F" w:rsidP="006E790F">
      <w:pPr>
        <w:pStyle w:val="Akapitzlist"/>
        <w:numPr>
          <w:ilvl w:val="0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Możliwość obliczenia stażu pracownika.</w:t>
      </w:r>
    </w:p>
    <w:p w14:paraId="3D2F2728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Wyliczenie stażu 2 pracowników oraz prezentacja zestawień wygenerowanych w systemie wskazujących na sposób obliczenia stażu pracy.</w:t>
      </w:r>
    </w:p>
    <w:p w14:paraId="54FE053E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Wprowadzenie nieobecności bezpłatnej pracownika oraz prezentacja wpływu na automatyczne wyliczenie dat do stażu i jubileuszu.</w:t>
      </w:r>
    </w:p>
    <w:p w14:paraId="301C01F4" w14:textId="56FB846A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Zaprezentowanie automatycznego pomijania okresów zazębiających się według dwóch przedstawionych przykładów</w:t>
      </w:r>
      <w:r w:rsidR="004654CD" w:rsidRPr="007315AC">
        <w:rPr>
          <w:rFonts w:ascii="Titillium" w:hAnsi="Titillium"/>
        </w:rPr>
        <w:t xml:space="preserve"> </w:t>
      </w:r>
      <w:r w:rsidRPr="007315AC">
        <w:rPr>
          <w:rFonts w:ascii="Titillium" w:hAnsi="Titillium"/>
        </w:rPr>
        <w:t>(</w:t>
      </w:r>
      <w:r w:rsidR="004654CD" w:rsidRPr="007315AC">
        <w:rPr>
          <w:rFonts w:ascii="Titillium" w:hAnsi="Titillium"/>
        </w:rPr>
        <w:t>na etapie badania prezentacji próbki Zamawiający przekaże przykładowe parametry w celu sprawdzenia poprawności działania systemu</w:t>
      </w:r>
      <w:r w:rsidRPr="007315AC">
        <w:rPr>
          <w:rFonts w:ascii="Titillium" w:hAnsi="Titillium"/>
        </w:rPr>
        <w:t>)</w:t>
      </w:r>
    </w:p>
    <w:p w14:paraId="3D83ACBB" w14:textId="77777777" w:rsidR="006E790F" w:rsidRPr="007315AC" w:rsidRDefault="006E790F" w:rsidP="006E790F">
      <w:pPr>
        <w:pStyle w:val="Akapitzlist"/>
        <w:numPr>
          <w:ilvl w:val="0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Możliwość przedstawienia sporządzania zestawień GUS:</w:t>
      </w:r>
    </w:p>
    <w:p w14:paraId="7F865985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Przedstawić sposób parametryzacji i wykonanie zestawień Z-03 oraz Z-06</w:t>
      </w:r>
    </w:p>
    <w:p w14:paraId="6025507B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Wygenerować zestawienie w formie pliku .pdf.</w:t>
      </w:r>
    </w:p>
    <w:p w14:paraId="128D609E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Wygenerować dane do zestawienia Z-12</w:t>
      </w:r>
    </w:p>
    <w:p w14:paraId="54C05062" w14:textId="77777777" w:rsidR="006E790F" w:rsidRPr="007315AC" w:rsidRDefault="006E790F" w:rsidP="006E790F">
      <w:pPr>
        <w:pStyle w:val="Akapitzlist"/>
        <w:numPr>
          <w:ilvl w:val="0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Możliwość wprowadzenia umowy na wykorzystanie samochodu prywatnego do celów służbowych.</w:t>
      </w:r>
    </w:p>
    <w:p w14:paraId="70D8A846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Wprowadzić umowę dla pracownika na wykorzystanie samochodu prywatnego do celów służbowych:</w:t>
      </w:r>
    </w:p>
    <w:p w14:paraId="42BC7C1E" w14:textId="77777777" w:rsidR="006E790F" w:rsidRPr="007315AC" w:rsidRDefault="006E790F" w:rsidP="006E790F">
      <w:pPr>
        <w:pStyle w:val="Akapitzlist"/>
        <w:numPr>
          <w:ilvl w:val="2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Rodzaj pojazdu</w:t>
      </w:r>
    </w:p>
    <w:p w14:paraId="53F259F2" w14:textId="77777777" w:rsidR="006E790F" w:rsidRPr="007315AC" w:rsidRDefault="006E790F" w:rsidP="006E790F">
      <w:pPr>
        <w:pStyle w:val="Akapitzlist"/>
        <w:numPr>
          <w:ilvl w:val="2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Marka</w:t>
      </w:r>
    </w:p>
    <w:p w14:paraId="13718AF5" w14:textId="77777777" w:rsidR="006E790F" w:rsidRPr="007315AC" w:rsidRDefault="006E790F" w:rsidP="006E790F">
      <w:pPr>
        <w:pStyle w:val="Akapitzlist"/>
        <w:numPr>
          <w:ilvl w:val="2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Model</w:t>
      </w:r>
    </w:p>
    <w:p w14:paraId="05EC9E04" w14:textId="77777777" w:rsidR="006E790F" w:rsidRPr="007315AC" w:rsidRDefault="006E790F" w:rsidP="006E790F">
      <w:pPr>
        <w:pStyle w:val="Akapitzlist"/>
        <w:numPr>
          <w:ilvl w:val="2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Pojemność</w:t>
      </w:r>
    </w:p>
    <w:p w14:paraId="6176BE17" w14:textId="77777777" w:rsidR="006E790F" w:rsidRPr="007315AC" w:rsidRDefault="006E790F" w:rsidP="006E790F">
      <w:pPr>
        <w:pStyle w:val="Akapitzlist"/>
        <w:numPr>
          <w:ilvl w:val="2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Numer rejestracyjny</w:t>
      </w:r>
    </w:p>
    <w:p w14:paraId="236772DE" w14:textId="77777777" w:rsidR="006E790F" w:rsidRPr="007315AC" w:rsidRDefault="006E790F" w:rsidP="006E790F">
      <w:pPr>
        <w:pStyle w:val="Akapitzlist"/>
        <w:numPr>
          <w:ilvl w:val="2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Data zawarcia umowy</w:t>
      </w:r>
    </w:p>
    <w:p w14:paraId="52AE6173" w14:textId="77777777" w:rsidR="006E790F" w:rsidRPr="007315AC" w:rsidRDefault="006E790F" w:rsidP="006E790F">
      <w:pPr>
        <w:pStyle w:val="Akapitzlist"/>
        <w:numPr>
          <w:ilvl w:val="2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Przyznany limit kilometrów</w:t>
      </w:r>
    </w:p>
    <w:p w14:paraId="06DD5877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Wygenerować oświadczenie z wyliczonymi kwotami limitu pomniejszonymi o nieobecności.</w:t>
      </w:r>
    </w:p>
    <w:p w14:paraId="74977EFB" w14:textId="77777777" w:rsidR="006E790F" w:rsidRPr="007315AC" w:rsidRDefault="006E790F" w:rsidP="006E790F">
      <w:pPr>
        <w:pStyle w:val="Akapitzlist"/>
        <w:numPr>
          <w:ilvl w:val="1"/>
          <w:numId w:val="30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 systemie płacowym pokazać automatyczny sposób wyliczenia wysokości ryczałtu z uwzględnieniem nieobecności, pracy zdalnej w danym miesiącu.</w:t>
      </w:r>
    </w:p>
    <w:p w14:paraId="72EF5466" w14:textId="77777777" w:rsidR="006E790F" w:rsidRPr="007315AC" w:rsidRDefault="006E790F" w:rsidP="006E790F">
      <w:pPr>
        <w:pStyle w:val="Nagwek2"/>
        <w:rPr>
          <w:rFonts w:ascii="Titillium" w:hAnsi="Titillium"/>
          <w:color w:val="auto"/>
          <w:sz w:val="22"/>
          <w:szCs w:val="22"/>
        </w:rPr>
      </w:pPr>
      <w:r w:rsidRPr="007315AC">
        <w:rPr>
          <w:rFonts w:ascii="Titillium" w:hAnsi="Titillium"/>
          <w:color w:val="auto"/>
          <w:sz w:val="22"/>
          <w:szCs w:val="22"/>
        </w:rPr>
        <w:t>Wymagania dotyczące systemów płacowych</w:t>
      </w:r>
    </w:p>
    <w:p w14:paraId="6285B893" w14:textId="77777777" w:rsidR="006E790F" w:rsidRPr="007315AC" w:rsidRDefault="006E790F" w:rsidP="006E790F">
      <w:pPr>
        <w:pStyle w:val="Akapitzlist"/>
        <w:numPr>
          <w:ilvl w:val="0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Możliwość wprowadzenia w systemie płacowym informacji wraz z wysokością tytułu wykonawczego.</w:t>
      </w:r>
    </w:p>
    <w:p w14:paraId="3F06D26B" w14:textId="77777777" w:rsidR="006E790F" w:rsidRPr="007315AC" w:rsidRDefault="006E790F" w:rsidP="006E790F">
      <w:pPr>
        <w:pStyle w:val="Akapitzlist"/>
        <w:numPr>
          <w:ilvl w:val="1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Wprowadzenie dla pracownika informacji o globalnej kwocie tytułu wykonawczego do potrącenia</w:t>
      </w:r>
    </w:p>
    <w:p w14:paraId="03C325BF" w14:textId="77777777" w:rsidR="006E790F" w:rsidRPr="007315AC" w:rsidRDefault="006E790F" w:rsidP="006E790F">
      <w:pPr>
        <w:pStyle w:val="Akapitzlist"/>
        <w:numPr>
          <w:ilvl w:val="1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lastRenderedPageBreak/>
        <w:t>Dokonanie automatycznego potrącenia komorniczego na liście płac z występującym zasiłkiem chorobowym</w:t>
      </w:r>
    </w:p>
    <w:p w14:paraId="708BBFD0" w14:textId="77777777" w:rsidR="006E790F" w:rsidRPr="007315AC" w:rsidRDefault="006E790F" w:rsidP="006E790F">
      <w:pPr>
        <w:pStyle w:val="Akapitzlist"/>
        <w:numPr>
          <w:ilvl w:val="1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Automatyczne generowanie przelewu do komornika</w:t>
      </w:r>
    </w:p>
    <w:p w14:paraId="3C4A8DF1" w14:textId="77777777" w:rsidR="006E790F" w:rsidRPr="007315AC" w:rsidRDefault="006E790F" w:rsidP="006E790F">
      <w:pPr>
        <w:pStyle w:val="Akapitzlist"/>
        <w:numPr>
          <w:ilvl w:val="0"/>
          <w:numId w:val="33"/>
        </w:numPr>
        <w:suppressAutoHyphens w:val="0"/>
        <w:rPr>
          <w:rFonts w:ascii="Titillium" w:hAnsi="Titillium"/>
          <w:i/>
          <w:iCs/>
        </w:rPr>
      </w:pPr>
      <w:r w:rsidRPr="007315AC">
        <w:rPr>
          <w:rFonts w:ascii="Titillium" w:hAnsi="Titillium"/>
        </w:rPr>
        <w:t>Możliwość wprowadzenia okresu wykonywania pracy zarobkowej pracownika przebywającego na urlopie wychowawczym, którego podstawa do ubezpieczeń społecznych ma wynosić 0 zł.</w:t>
      </w:r>
    </w:p>
    <w:p w14:paraId="1334284D" w14:textId="77777777" w:rsidR="006E790F" w:rsidRPr="007315AC" w:rsidRDefault="006E790F" w:rsidP="006E790F">
      <w:pPr>
        <w:pStyle w:val="Akapitzlist"/>
        <w:numPr>
          <w:ilvl w:val="0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Tworzenie list na podstawie uprzednio sporządzonych listy płac.</w:t>
      </w:r>
    </w:p>
    <w:p w14:paraId="52FACBF7" w14:textId="77777777" w:rsidR="006E790F" w:rsidRPr="007315AC" w:rsidRDefault="006E790F" w:rsidP="006E790F">
      <w:pPr>
        <w:pStyle w:val="Akapitzlist"/>
        <w:numPr>
          <w:ilvl w:val="0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Sporządzenie zestawienia z uwzględnieniem wybranych pracowników</w:t>
      </w:r>
    </w:p>
    <w:p w14:paraId="7A6FB332" w14:textId="77777777" w:rsidR="006E790F" w:rsidRPr="007315AC" w:rsidRDefault="006E790F" w:rsidP="006E790F">
      <w:pPr>
        <w:pStyle w:val="Akapitzlist"/>
        <w:numPr>
          <w:ilvl w:val="0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Przedstawić sposób generowania listy płac dla wprowadzonych pracowników.</w:t>
      </w:r>
    </w:p>
    <w:p w14:paraId="2A3A77A8" w14:textId="77777777" w:rsidR="006E790F" w:rsidRPr="007315AC" w:rsidRDefault="006E790F" w:rsidP="006E790F">
      <w:pPr>
        <w:pStyle w:val="Akapitzlist"/>
        <w:numPr>
          <w:ilvl w:val="0"/>
          <w:numId w:val="33"/>
        </w:numPr>
        <w:suppressAutoHyphens w:val="0"/>
        <w:rPr>
          <w:rFonts w:ascii="Titillium" w:hAnsi="Titillium"/>
        </w:rPr>
      </w:pPr>
      <w:r w:rsidRPr="007315AC">
        <w:rPr>
          <w:rFonts w:ascii="Titillium" w:hAnsi="Titillium"/>
        </w:rPr>
        <w:t>Dokonać analizy wyników przetwarzania w układzie wybranym przez użytkownika np. według stanowisk, według płci, według wybranych składników płacowych. Wyniki analizy przesłać do arkusza kalkulacyjnego.</w:t>
      </w:r>
    </w:p>
    <w:p w14:paraId="624F3ECC" w14:textId="77777777" w:rsidR="006E790F" w:rsidRPr="007315AC" w:rsidRDefault="006E790F" w:rsidP="00735683">
      <w:pPr>
        <w:rPr>
          <w:rFonts w:ascii="Titillium" w:hAnsi="Titillium"/>
        </w:rPr>
      </w:pPr>
    </w:p>
    <w:p w14:paraId="1EDC2CCA" w14:textId="77777777" w:rsidR="00735683" w:rsidRPr="007315AC" w:rsidRDefault="00735683" w:rsidP="00735683">
      <w:pPr>
        <w:rPr>
          <w:rFonts w:ascii="Titillium" w:hAnsi="Titillium"/>
        </w:rPr>
      </w:pPr>
    </w:p>
    <w:p w14:paraId="74B41BEE" w14:textId="77777777" w:rsidR="00735683" w:rsidRPr="007315AC" w:rsidRDefault="00735683" w:rsidP="00735683">
      <w:pPr>
        <w:rPr>
          <w:rFonts w:ascii="Titillium" w:hAnsi="Titillium"/>
          <w:strike/>
        </w:rPr>
      </w:pPr>
    </w:p>
    <w:sectPr w:rsidR="00735683" w:rsidRPr="007315A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725B" w14:textId="77777777" w:rsidR="00400C5F" w:rsidRDefault="00332EA5">
      <w:pPr>
        <w:spacing w:after="0" w:line="240" w:lineRule="auto"/>
      </w:pPr>
      <w:r>
        <w:separator/>
      </w:r>
    </w:p>
  </w:endnote>
  <w:endnote w:type="continuationSeparator" w:id="0">
    <w:p w14:paraId="026D4503" w14:textId="77777777" w:rsidR="00400C5F" w:rsidRDefault="0033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545086"/>
      <w:docPartObj>
        <w:docPartGallery w:val="Page Numbers (Bottom of Page)"/>
        <w:docPartUnique/>
      </w:docPartObj>
    </w:sdtPr>
    <w:sdtEndPr/>
    <w:sdtContent>
      <w:p w14:paraId="0A81BA77" w14:textId="77777777" w:rsidR="00A17422" w:rsidRDefault="00A17422">
        <w:pPr>
          <w:spacing w:after="0" w:line="264" w:lineRule="auto"/>
          <w:jc w:val="center"/>
        </w:pPr>
      </w:p>
      <w:p w14:paraId="2DDB27BF" w14:textId="77777777" w:rsidR="00A17422" w:rsidRDefault="001214B7">
        <w:pPr>
          <w:spacing w:after="0" w:line="264" w:lineRule="auto"/>
          <w:jc w:val="right"/>
          <w:rPr>
            <w:rFonts w:cstheme="minorHAnsi"/>
            <w:b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62DB" w14:textId="77777777" w:rsidR="00400C5F" w:rsidRDefault="00332EA5">
      <w:pPr>
        <w:spacing w:after="0" w:line="240" w:lineRule="auto"/>
      </w:pPr>
      <w:r>
        <w:separator/>
      </w:r>
    </w:p>
  </w:footnote>
  <w:footnote w:type="continuationSeparator" w:id="0">
    <w:p w14:paraId="2B84E43A" w14:textId="77777777" w:rsidR="00400C5F" w:rsidRDefault="0033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8650" w14:textId="77777777" w:rsidR="00A17422" w:rsidRDefault="00A17422">
    <w:pPr>
      <w:spacing w:after="0"/>
      <w:jc w:val="right"/>
      <w:rPr>
        <w:rFonts w:cstheme="minorHAnsi"/>
      </w:rPr>
    </w:pPr>
  </w:p>
  <w:p w14:paraId="1F0DA0DA" w14:textId="77777777" w:rsidR="00A17422" w:rsidRDefault="00A1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85A"/>
    <w:multiLevelType w:val="multilevel"/>
    <w:tmpl w:val="3E4C7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62E6B"/>
    <w:multiLevelType w:val="multilevel"/>
    <w:tmpl w:val="51F466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0273166E"/>
    <w:multiLevelType w:val="hybridMultilevel"/>
    <w:tmpl w:val="34B2EDA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45E73"/>
    <w:multiLevelType w:val="multilevel"/>
    <w:tmpl w:val="C538AE2C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4" w15:restartNumberingAfterBreak="0">
    <w:nsid w:val="0F4E60F9"/>
    <w:multiLevelType w:val="multilevel"/>
    <w:tmpl w:val="C538AE2C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5" w15:restartNumberingAfterBreak="0">
    <w:nsid w:val="10664FC7"/>
    <w:multiLevelType w:val="multilevel"/>
    <w:tmpl w:val="BAC0E7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161"/>
        </w:tabs>
        <w:ind w:left="724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181F1783"/>
    <w:multiLevelType w:val="multilevel"/>
    <w:tmpl w:val="C538AE2C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7" w15:restartNumberingAfterBreak="0">
    <w:nsid w:val="198359DC"/>
    <w:multiLevelType w:val="hybridMultilevel"/>
    <w:tmpl w:val="0C1E34EE"/>
    <w:lvl w:ilvl="0" w:tplc="5458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6354"/>
    <w:multiLevelType w:val="hybridMultilevel"/>
    <w:tmpl w:val="34B2EDA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5503D"/>
    <w:multiLevelType w:val="hybridMultilevel"/>
    <w:tmpl w:val="34B2EDA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85E88"/>
    <w:multiLevelType w:val="multilevel"/>
    <w:tmpl w:val="C538AE2C"/>
    <w:styleLink w:val="WWNum6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11" w15:restartNumberingAfterBreak="0">
    <w:nsid w:val="2B9B019A"/>
    <w:multiLevelType w:val="multilevel"/>
    <w:tmpl w:val="4D5428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374182C"/>
    <w:multiLevelType w:val="hybridMultilevel"/>
    <w:tmpl w:val="E668BC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41216F"/>
    <w:multiLevelType w:val="multilevel"/>
    <w:tmpl w:val="51F466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39C8663E"/>
    <w:multiLevelType w:val="multilevel"/>
    <w:tmpl w:val="C538AE2C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15" w15:restartNumberingAfterBreak="0">
    <w:nsid w:val="3ABF742E"/>
    <w:multiLevelType w:val="multilevel"/>
    <w:tmpl w:val="D616A9EA"/>
    <w:lvl w:ilvl="0">
      <w:start w:val="1"/>
      <w:numFmt w:val="upperRoman"/>
      <w:pStyle w:val="Poziom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Poziom2"/>
      <w:lvlText w:val="%2."/>
      <w:lvlJc w:val="left"/>
      <w:pPr>
        <w:tabs>
          <w:tab w:val="num" w:pos="0"/>
        </w:tabs>
        <w:ind w:left="1072" w:hanging="352"/>
      </w:pPr>
    </w:lvl>
    <w:lvl w:ilvl="2">
      <w:start w:val="1"/>
      <w:numFmt w:val="decimal"/>
      <w:pStyle w:val="Poziom3"/>
      <w:lvlText w:val="%2.%3"/>
      <w:lvlJc w:val="left"/>
      <w:pPr>
        <w:tabs>
          <w:tab w:val="num" w:pos="0"/>
        </w:tabs>
        <w:ind w:left="1588" w:hanging="516"/>
      </w:pPr>
    </w:lvl>
    <w:lvl w:ilvl="3">
      <w:start w:val="1"/>
      <w:numFmt w:val="decimal"/>
      <w:pStyle w:val="Poziom4"/>
      <w:lvlText w:val="%2.%3.%4"/>
      <w:lvlJc w:val="left"/>
      <w:pPr>
        <w:tabs>
          <w:tab w:val="num" w:pos="0"/>
        </w:tabs>
        <w:ind w:left="2143" w:hanging="714"/>
      </w:pPr>
    </w:lvl>
    <w:lvl w:ilvl="4">
      <w:start w:val="1"/>
      <w:numFmt w:val="lowerLetter"/>
      <w:pStyle w:val="Poziom5"/>
      <w:lvlText w:val="%5)"/>
      <w:lvlJc w:val="left"/>
      <w:pPr>
        <w:tabs>
          <w:tab w:val="num" w:pos="0"/>
        </w:tabs>
        <w:ind w:left="2500" w:hanging="357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3F097E58"/>
    <w:multiLevelType w:val="hybridMultilevel"/>
    <w:tmpl w:val="B1885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00908"/>
    <w:multiLevelType w:val="hybridMultilevel"/>
    <w:tmpl w:val="E9BC6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92EED"/>
    <w:multiLevelType w:val="hybridMultilevel"/>
    <w:tmpl w:val="E9BC6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602CD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AF4C4A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1433E"/>
    <w:multiLevelType w:val="multilevel"/>
    <w:tmpl w:val="C538AE2C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20" w15:restartNumberingAfterBreak="0">
    <w:nsid w:val="4F3C75F3"/>
    <w:multiLevelType w:val="multilevel"/>
    <w:tmpl w:val="75303D9A"/>
    <w:styleLink w:val="WWNum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 w15:restartNumberingAfterBreak="0">
    <w:nsid w:val="55764991"/>
    <w:multiLevelType w:val="multilevel"/>
    <w:tmpl w:val="75303D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2" w15:restartNumberingAfterBreak="0">
    <w:nsid w:val="565377C8"/>
    <w:multiLevelType w:val="multilevel"/>
    <w:tmpl w:val="C538AE2C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23" w15:restartNumberingAfterBreak="0">
    <w:nsid w:val="56C343CA"/>
    <w:multiLevelType w:val="hybridMultilevel"/>
    <w:tmpl w:val="34B2EDA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36F93"/>
    <w:multiLevelType w:val="multilevel"/>
    <w:tmpl w:val="56A0A5A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BD718F"/>
    <w:multiLevelType w:val="multilevel"/>
    <w:tmpl w:val="51F466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6" w15:restartNumberingAfterBreak="0">
    <w:nsid w:val="62C265E1"/>
    <w:multiLevelType w:val="multilevel"/>
    <w:tmpl w:val="C538AE2C"/>
    <w:lvl w:ilvl="0">
      <w:start w:val="1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8"/>
      <w:numFmt w:val="decimal"/>
      <w:lvlText w:val="%1.%2"/>
      <w:lvlJc w:val="left"/>
      <w:pPr>
        <w:ind w:left="1515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sz w:val="22"/>
      </w:rPr>
    </w:lvl>
  </w:abstractNum>
  <w:abstractNum w:abstractNumId="27" w15:restartNumberingAfterBreak="0">
    <w:nsid w:val="6B7A69FA"/>
    <w:multiLevelType w:val="multilevel"/>
    <w:tmpl w:val="51F466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8" w15:restartNumberingAfterBreak="0">
    <w:nsid w:val="6BE3428B"/>
    <w:multiLevelType w:val="multilevel"/>
    <w:tmpl w:val="51F466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9" w15:restartNumberingAfterBreak="0">
    <w:nsid w:val="729F0433"/>
    <w:multiLevelType w:val="hybridMultilevel"/>
    <w:tmpl w:val="6B563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E2120"/>
    <w:multiLevelType w:val="hybridMultilevel"/>
    <w:tmpl w:val="A1EE8F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F145E"/>
    <w:multiLevelType w:val="multilevel"/>
    <w:tmpl w:val="20B64B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CCF676E"/>
    <w:multiLevelType w:val="multilevel"/>
    <w:tmpl w:val="51F46616"/>
    <w:styleLink w:val="WWNum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25856665">
    <w:abstractNumId w:val="5"/>
  </w:num>
  <w:num w:numId="2" w16cid:durableId="18044865">
    <w:abstractNumId w:val="15"/>
  </w:num>
  <w:num w:numId="3" w16cid:durableId="723287117">
    <w:abstractNumId w:val="31"/>
  </w:num>
  <w:num w:numId="4" w16cid:durableId="664673083">
    <w:abstractNumId w:val="11"/>
  </w:num>
  <w:num w:numId="5" w16cid:durableId="1644041271">
    <w:abstractNumId w:val="24"/>
  </w:num>
  <w:num w:numId="6" w16cid:durableId="271713612">
    <w:abstractNumId w:val="0"/>
  </w:num>
  <w:num w:numId="7" w16cid:durableId="1032343919">
    <w:abstractNumId w:val="23"/>
  </w:num>
  <w:num w:numId="8" w16cid:durableId="57098928">
    <w:abstractNumId w:val="20"/>
  </w:num>
  <w:num w:numId="9" w16cid:durableId="267081247">
    <w:abstractNumId w:val="21"/>
  </w:num>
  <w:num w:numId="10" w16cid:durableId="261381197">
    <w:abstractNumId w:val="32"/>
  </w:num>
  <w:num w:numId="11" w16cid:durableId="183634321">
    <w:abstractNumId w:val="1"/>
  </w:num>
  <w:num w:numId="12" w16cid:durableId="1394424399">
    <w:abstractNumId w:val="13"/>
  </w:num>
  <w:num w:numId="13" w16cid:durableId="1066076319">
    <w:abstractNumId w:val="25"/>
  </w:num>
  <w:num w:numId="14" w16cid:durableId="1514612399">
    <w:abstractNumId w:val="27"/>
  </w:num>
  <w:num w:numId="15" w16cid:durableId="271981614">
    <w:abstractNumId w:val="28"/>
  </w:num>
  <w:num w:numId="16" w16cid:durableId="1311207555">
    <w:abstractNumId w:val="10"/>
  </w:num>
  <w:num w:numId="17" w16cid:durableId="1969579659">
    <w:abstractNumId w:val="19"/>
  </w:num>
  <w:num w:numId="18" w16cid:durableId="25452654">
    <w:abstractNumId w:val="4"/>
  </w:num>
  <w:num w:numId="19" w16cid:durableId="1045913396">
    <w:abstractNumId w:val="26"/>
  </w:num>
  <w:num w:numId="20" w16cid:durableId="404381096">
    <w:abstractNumId w:val="14"/>
  </w:num>
  <w:num w:numId="21" w16cid:durableId="456030483">
    <w:abstractNumId w:val="3"/>
  </w:num>
  <w:num w:numId="22" w16cid:durableId="2097897259">
    <w:abstractNumId w:val="22"/>
  </w:num>
  <w:num w:numId="23" w16cid:durableId="670064136">
    <w:abstractNumId w:val="6"/>
  </w:num>
  <w:num w:numId="24" w16cid:durableId="281114742">
    <w:abstractNumId w:val="7"/>
  </w:num>
  <w:num w:numId="25" w16cid:durableId="1297298962">
    <w:abstractNumId w:val="2"/>
  </w:num>
  <w:num w:numId="26" w16cid:durableId="1499805448">
    <w:abstractNumId w:val="8"/>
  </w:num>
  <w:num w:numId="27" w16cid:durableId="66269792">
    <w:abstractNumId w:val="9"/>
  </w:num>
  <w:num w:numId="28" w16cid:durableId="2085562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9795125">
    <w:abstractNumId w:val="12"/>
  </w:num>
  <w:num w:numId="30" w16cid:durableId="1630671313">
    <w:abstractNumId w:val="18"/>
  </w:num>
  <w:num w:numId="31" w16cid:durableId="876891942">
    <w:abstractNumId w:val="16"/>
  </w:num>
  <w:num w:numId="32" w16cid:durableId="642345532">
    <w:abstractNumId w:val="30"/>
  </w:num>
  <w:num w:numId="33" w16cid:durableId="1107578942">
    <w:abstractNumId w:val="17"/>
  </w:num>
  <w:num w:numId="34" w16cid:durableId="4098922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22"/>
    <w:rsid w:val="000858B6"/>
    <w:rsid w:val="000B15F7"/>
    <w:rsid w:val="001005A8"/>
    <w:rsid w:val="001214B7"/>
    <w:rsid w:val="001E287A"/>
    <w:rsid w:val="002C46CB"/>
    <w:rsid w:val="00332EA5"/>
    <w:rsid w:val="00343254"/>
    <w:rsid w:val="003B0B09"/>
    <w:rsid w:val="003D7961"/>
    <w:rsid w:val="003F29F6"/>
    <w:rsid w:val="00400C5F"/>
    <w:rsid w:val="00412CD2"/>
    <w:rsid w:val="004326C3"/>
    <w:rsid w:val="00443265"/>
    <w:rsid w:val="004654CD"/>
    <w:rsid w:val="004A6BFA"/>
    <w:rsid w:val="004C0673"/>
    <w:rsid w:val="004C298E"/>
    <w:rsid w:val="005E4360"/>
    <w:rsid w:val="006433C9"/>
    <w:rsid w:val="006A3BD4"/>
    <w:rsid w:val="006D05CA"/>
    <w:rsid w:val="006E790F"/>
    <w:rsid w:val="0070717D"/>
    <w:rsid w:val="007315AC"/>
    <w:rsid w:val="00735683"/>
    <w:rsid w:val="007A7F2F"/>
    <w:rsid w:val="00812569"/>
    <w:rsid w:val="008B3F9E"/>
    <w:rsid w:val="008C6F6B"/>
    <w:rsid w:val="00921235"/>
    <w:rsid w:val="009B453C"/>
    <w:rsid w:val="00A031DE"/>
    <w:rsid w:val="00A17422"/>
    <w:rsid w:val="00A96420"/>
    <w:rsid w:val="00AA2379"/>
    <w:rsid w:val="00C12636"/>
    <w:rsid w:val="00C31A2A"/>
    <w:rsid w:val="00C57500"/>
    <w:rsid w:val="00D30CE0"/>
    <w:rsid w:val="00D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51AC"/>
  <w15:docId w15:val="{DBFDA0DF-AB96-4FA7-A2E4-FE926971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90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4D75"/>
    <w:pPr>
      <w:keepNext/>
      <w:keepLines/>
      <w:spacing w:before="8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C9054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C4D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40C73"/>
  </w:style>
  <w:style w:type="character" w:customStyle="1" w:styleId="StopkaZnak">
    <w:name w:val="Stopka Znak"/>
    <w:basedOn w:val="Domylnaczcionkaakapitu"/>
    <w:link w:val="Stopka"/>
    <w:uiPriority w:val="99"/>
    <w:qFormat/>
    <w:rsid w:val="00540C73"/>
  </w:style>
  <w:style w:type="character" w:customStyle="1" w:styleId="Poziom1Znak">
    <w:name w:val="Poziom1 Znak"/>
    <w:basedOn w:val="Domylnaczcionkaakapitu"/>
    <w:link w:val="Poziom1"/>
    <w:qFormat/>
    <w:rsid w:val="00A04098"/>
    <w:rPr>
      <w:rFonts w:ascii="Calibri" w:eastAsia="Calibri" w:hAnsi="Calibri" w:cs="Arial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Obiekt Znak,List Paragraph1 Znak"/>
    <w:link w:val="Akapitzlist"/>
    <w:uiPriority w:val="34"/>
    <w:qFormat/>
    <w:locked/>
    <w:rsid w:val="007704E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C51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51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51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51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40C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90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aliases w:val="Numerowanie,Akapit z listą BS,List Paragraph,Obiekt,List Paragraph1"/>
    <w:basedOn w:val="Normalny"/>
    <w:link w:val="AkapitzlistZnak"/>
    <w:uiPriority w:val="34"/>
    <w:qFormat/>
    <w:rsid w:val="00C9054E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40C7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ziom1">
    <w:name w:val="Poziom1"/>
    <w:basedOn w:val="Normalny"/>
    <w:link w:val="Poziom1Znak"/>
    <w:qFormat/>
    <w:rsid w:val="00A04098"/>
    <w:pPr>
      <w:keepNext/>
      <w:keepLines/>
      <w:widowControl w:val="0"/>
      <w:numPr>
        <w:numId w:val="2"/>
      </w:numPr>
      <w:spacing w:before="360" w:after="120" w:line="240" w:lineRule="auto"/>
      <w:outlineLvl w:val="0"/>
    </w:pPr>
    <w:rPr>
      <w:rFonts w:ascii="Calibri" w:eastAsia="Calibri" w:hAnsi="Calibri" w:cs="Arial"/>
      <w:b/>
      <w:sz w:val="24"/>
      <w:szCs w:val="24"/>
      <w:lang w:eastAsia="ar-SA"/>
    </w:rPr>
  </w:style>
  <w:style w:type="paragraph" w:customStyle="1" w:styleId="Poziom2">
    <w:name w:val="Poziom2"/>
    <w:basedOn w:val="Normalny"/>
    <w:next w:val="Normalny"/>
    <w:qFormat/>
    <w:rsid w:val="00A04098"/>
    <w:pPr>
      <w:numPr>
        <w:ilvl w:val="1"/>
        <w:numId w:val="2"/>
      </w:numPr>
      <w:spacing w:before="120"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3">
    <w:name w:val="Poziom3"/>
    <w:basedOn w:val="Normalny"/>
    <w:qFormat/>
    <w:rsid w:val="00A04098"/>
    <w:pPr>
      <w:widowControl w:val="0"/>
      <w:numPr>
        <w:ilvl w:val="2"/>
        <w:numId w:val="2"/>
      </w:numPr>
      <w:spacing w:before="120" w:after="0" w:line="240" w:lineRule="auto"/>
    </w:pPr>
    <w:rPr>
      <w:rFonts w:ascii="Calibri" w:eastAsia="Calibri" w:hAnsi="Calibri" w:cs="Arial"/>
      <w:lang w:eastAsia="ar-SA"/>
    </w:rPr>
  </w:style>
  <w:style w:type="paragraph" w:customStyle="1" w:styleId="Poziom4">
    <w:name w:val="Poziom4"/>
    <w:basedOn w:val="Normalny"/>
    <w:next w:val="Normalny"/>
    <w:qFormat/>
    <w:rsid w:val="00A04098"/>
    <w:pPr>
      <w:numPr>
        <w:ilvl w:val="3"/>
        <w:numId w:val="2"/>
      </w:numPr>
      <w:tabs>
        <w:tab w:val="left" w:pos="1560"/>
      </w:tabs>
      <w:spacing w:before="60"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5">
    <w:name w:val="Poziom5"/>
    <w:basedOn w:val="Akapitzlist"/>
    <w:qFormat/>
    <w:rsid w:val="00A04098"/>
    <w:pPr>
      <w:numPr>
        <w:ilvl w:val="4"/>
        <w:numId w:val="2"/>
      </w:numPr>
      <w:spacing w:before="120" w:after="0" w:line="240" w:lineRule="auto"/>
      <w:contextualSpacing w:val="0"/>
    </w:pPr>
    <w:rPr>
      <w:rFonts w:ascii="Calibri" w:eastAsia="Times New Roman" w:hAnsi="Calibri" w:cs="Times New Roman"/>
      <w:lang w:eastAsia="ar-SA"/>
    </w:rPr>
  </w:style>
  <w:style w:type="paragraph" w:customStyle="1" w:styleId="Tabela">
    <w:name w:val="Tabela"/>
    <w:basedOn w:val="Normalny"/>
    <w:qFormat/>
    <w:rsid w:val="00A04098"/>
    <w:pPr>
      <w:spacing w:before="120" w:after="0" w:line="276" w:lineRule="auto"/>
      <w:ind w:left="567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51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51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51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704E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70717D"/>
    <w:pPr>
      <w:numPr>
        <w:numId w:val="8"/>
      </w:numPr>
    </w:pPr>
  </w:style>
  <w:style w:type="numbering" w:customStyle="1" w:styleId="WWNum3">
    <w:name w:val="WWNum3"/>
    <w:basedOn w:val="Bezlisty"/>
    <w:rsid w:val="0070717D"/>
    <w:pPr>
      <w:numPr>
        <w:numId w:val="10"/>
      </w:numPr>
    </w:pPr>
  </w:style>
  <w:style w:type="numbering" w:customStyle="1" w:styleId="WWNum6">
    <w:name w:val="WWNum6"/>
    <w:basedOn w:val="Bezlisty"/>
    <w:rsid w:val="006433C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8000-3F6C-4D99-8032-B3C0945F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2297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Tkocz</dc:creator>
  <dc:description/>
  <cp:lastModifiedBy>UM Rydułtowy</cp:lastModifiedBy>
  <cp:revision>9</cp:revision>
  <cp:lastPrinted>2023-05-11T07:11:00Z</cp:lastPrinted>
  <dcterms:created xsi:type="dcterms:W3CDTF">2023-06-12T10:47:00Z</dcterms:created>
  <dcterms:modified xsi:type="dcterms:W3CDTF">2023-06-27T12:34:00Z</dcterms:modified>
  <dc:language>pl-PL</dc:language>
</cp:coreProperties>
</file>