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15BA1CA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424ADA" w:rsidRPr="00424A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punktów dostępu bezprzewodowego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7103A6A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8769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424A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100</w:t>
            </w:r>
            <w:r w:rsidR="008769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424A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446D3E2F" w:rsidR="00F85C46" w:rsidRPr="00E054BA" w:rsidRDefault="00D56319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9E770B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FAA80" w14:textId="77777777" w:rsidR="002F5524" w:rsidRPr="00E054BA" w:rsidRDefault="002F5524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88815B" w14:textId="77777777" w:rsidR="00FE0D51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E0D51">
        <w:rPr>
          <w:rFonts w:eastAsia="Calibri" w:cs="Arial"/>
          <w:b/>
          <w:szCs w:val="20"/>
          <w:lang w:eastAsia="pl-PL"/>
        </w:rPr>
        <w:t xml:space="preserve"> </w:t>
      </w:r>
      <w:r w:rsidR="000B0AAE" w:rsidRPr="00FE0D51">
        <w:rPr>
          <w:rFonts w:eastAsia="Calibri" w:cs="Arial"/>
          <w:b/>
          <w:szCs w:val="20"/>
          <w:lang w:eastAsia="pl-PL"/>
        </w:rPr>
        <w:t xml:space="preserve">                          </w:t>
      </w:r>
    </w:p>
    <w:p w14:paraId="20B79D32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3922EB7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E452E2F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1D5EEA8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2E62DC8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1810E21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F88B011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80E068B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1A0B69EA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9486901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1A33F48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2FB89B4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3E7C6901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1C43561A" w14:textId="77777777" w:rsidR="00FE0D51" w:rsidRDefault="00FE0D51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5DF3A9B" w14:textId="45D52042" w:rsidR="00272E3F" w:rsidRPr="00FE0D51" w:rsidRDefault="000B0AAE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E0D51">
        <w:rPr>
          <w:rFonts w:eastAsia="Calibri" w:cs="Arial"/>
          <w:b/>
          <w:szCs w:val="20"/>
          <w:lang w:eastAsia="pl-PL"/>
        </w:rPr>
        <w:t xml:space="preserve">   </w:t>
      </w:r>
      <w:r w:rsidR="00272E3F" w:rsidRPr="00FE0D51">
        <w:rPr>
          <w:rFonts w:eastAsia="Calibri" w:cs="Arial"/>
          <w:b/>
          <w:szCs w:val="20"/>
          <w:lang w:eastAsia="pl-PL"/>
        </w:rPr>
        <w:t>Zatwierdzam:</w:t>
      </w:r>
    </w:p>
    <w:p w14:paraId="5ACFDBE4" w14:textId="48FE78B6" w:rsidR="00424ADA" w:rsidRPr="00FE0D51" w:rsidRDefault="00FE0D51" w:rsidP="00424ADA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t>Dariusz Laska</w:t>
      </w:r>
    </w:p>
    <w:p w14:paraId="7E210659" w14:textId="31ED76F5" w:rsidR="00424ADA" w:rsidRPr="00FE0D51" w:rsidRDefault="00FD39F9" w:rsidP="00424ADA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FE0D51">
        <w:rPr>
          <w:rFonts w:eastAsia="Calibri" w:cs="Arial"/>
          <w:lang w:eastAsia="pl-PL"/>
        </w:rPr>
        <w:t xml:space="preserve">Kanclerz </w:t>
      </w:r>
    </w:p>
    <w:p w14:paraId="53FD73E6" w14:textId="0DA6B7CC" w:rsidR="00FD39F9" w:rsidRPr="00FE0D51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</w:p>
    <w:p w14:paraId="3D542A3A" w14:textId="77777777" w:rsidR="00FD39F9" w:rsidRPr="00FE0D51" w:rsidRDefault="00FD39F9" w:rsidP="00FD39F9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07608D95" w14:textId="77777777" w:rsidR="00E47936" w:rsidRPr="00FE0D51" w:rsidRDefault="00E47936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3B7C09F2" w14:textId="77777777" w:rsidR="00E054BA" w:rsidRPr="00FE0D51" w:rsidRDefault="00E054BA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95FC82F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424ADA"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424ADA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44FCB62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481849C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6CFCE5D5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EDA1B3C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22650B53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2AFDDC96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70C6370B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4295701F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AF1C4D9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A154130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24B966C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6DDE36BA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28B90BC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69F2EA23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7DD7FD69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08AD5C9D" w:rsidR="002E4CF0" w:rsidRPr="002E4CF0" w:rsidRDefault="00FE0D51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702C0C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68E59721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 w:rsidP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431E63F6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3F645115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>. z 20</w:t>
      </w:r>
      <w:r w:rsidR="00F01E4E">
        <w:rPr>
          <w:rFonts w:eastAsia="Calibri"/>
        </w:rPr>
        <w:t>2</w:t>
      </w:r>
      <w:r w:rsidR="00424ADA">
        <w:rPr>
          <w:rFonts w:eastAsia="Calibri"/>
        </w:rPr>
        <w:t>4</w:t>
      </w:r>
      <w:r w:rsidR="00876992">
        <w:rPr>
          <w:rFonts w:eastAsia="Calibri"/>
        </w:rPr>
        <w:t xml:space="preserve"> </w:t>
      </w:r>
      <w:r w:rsidRPr="00103256">
        <w:rPr>
          <w:rFonts w:eastAsia="Calibri"/>
        </w:rPr>
        <w:t xml:space="preserve">r. poz. </w:t>
      </w:r>
      <w:r w:rsidR="00424ADA">
        <w:rPr>
          <w:rFonts w:eastAsia="Calibri"/>
        </w:rPr>
        <w:t>1320</w:t>
      </w:r>
      <w:r w:rsidRPr="00103256">
        <w:rPr>
          <w:rFonts w:eastAsia="Calibri"/>
        </w:rPr>
        <w:t xml:space="preserve">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57A95AC1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424ADA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DD92095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424ADA" w:rsidRPr="00424ADA">
        <w:rPr>
          <w:rFonts w:eastAsia="Calibri"/>
          <w:b/>
        </w:rPr>
        <w:t>punktów dostępu bezprzewodowego</w:t>
      </w:r>
      <w:r w:rsidR="00103256" w:rsidRPr="000A13B2">
        <w:rPr>
          <w:rFonts w:eastAsia="Calibri"/>
        </w:rPr>
        <w:t>”;</w:t>
      </w:r>
    </w:p>
    <w:p w14:paraId="0367ED41" w14:textId="2731FD2A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876992">
        <w:rPr>
          <w:b/>
        </w:rPr>
        <w:t>382</w:t>
      </w:r>
      <w:r w:rsidR="00E81D74">
        <w:rPr>
          <w:b/>
        </w:rPr>
        <w:t>.</w:t>
      </w:r>
      <w:r w:rsidR="00876992">
        <w:rPr>
          <w:b/>
        </w:rPr>
        <w:t>1.</w:t>
      </w:r>
      <w:r w:rsidR="00424ADA">
        <w:rPr>
          <w:b/>
        </w:rPr>
        <w:t>100</w:t>
      </w:r>
      <w:r w:rsidR="00380E07">
        <w:rPr>
          <w:b/>
        </w:rPr>
        <w:t>.202</w:t>
      </w:r>
      <w:r w:rsidR="00424ADA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1C6752D2" w:rsidR="00F85C46" w:rsidRPr="00AF7FE4" w:rsidRDefault="00F85C46" w:rsidP="00432B95">
      <w:pPr>
        <w:pStyle w:val="Nagwek1"/>
        <w:keepNext w:val="0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542A748A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 xml:space="preserve">dostawa </w:t>
      </w:r>
      <w:r w:rsidR="00424ADA" w:rsidRPr="00424ADA">
        <w:rPr>
          <w:rFonts w:eastAsia="Calibri" w:cs="Arial"/>
          <w:szCs w:val="20"/>
        </w:rPr>
        <w:t>punktów dostępu bezprzewodowego</w:t>
      </w:r>
      <w:r w:rsidR="00424ADA">
        <w:rPr>
          <w:rFonts w:eastAsia="Calibri" w:cs="Arial"/>
          <w:szCs w:val="20"/>
        </w:rPr>
        <w:t xml:space="preserve"> (70 </w:t>
      </w:r>
      <w:proofErr w:type="spellStart"/>
      <w:r w:rsidR="00424ADA">
        <w:rPr>
          <w:rFonts w:eastAsia="Calibri" w:cs="Arial"/>
          <w:szCs w:val="20"/>
        </w:rPr>
        <w:t>szt</w:t>
      </w:r>
      <w:proofErr w:type="spellEnd"/>
      <w:r w:rsidR="00424ADA">
        <w:rPr>
          <w:rFonts w:eastAsia="Calibri" w:cs="Arial"/>
          <w:szCs w:val="20"/>
        </w:rPr>
        <w:t>,)</w:t>
      </w:r>
      <w:r w:rsidR="00621EAA">
        <w:rPr>
          <w:rFonts w:eastAsia="Calibri" w:cs="Arial"/>
          <w:szCs w:val="20"/>
        </w:rPr>
        <w:t xml:space="preserve">, </w:t>
      </w:r>
      <w:r w:rsidR="00621EAA" w:rsidRPr="009F1A4A">
        <w:rPr>
          <w:rFonts w:eastAsia="Calibri" w:cs="Arial"/>
          <w:szCs w:val="20"/>
        </w:rPr>
        <w:t>określon</w:t>
      </w:r>
      <w:r w:rsidR="00324801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 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24801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876992">
        <w:rPr>
          <w:rFonts w:eastAsia="Calibri" w:cs="Arial"/>
          <w:szCs w:val="20"/>
        </w:rPr>
        <w:t>urządzeniami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</w:t>
      </w:r>
      <w:r w:rsidR="00876992">
        <w:rPr>
          <w:rFonts w:eastAsia="Calibri" w:cs="Arial"/>
          <w:szCs w:val="20"/>
        </w:rPr>
        <w:t xml:space="preserve">urządzenia </w:t>
      </w:r>
      <w:r w:rsidR="009F1A4A">
        <w:rPr>
          <w:rFonts w:eastAsia="Calibri" w:cs="Arial"/>
          <w:szCs w:val="20"/>
        </w:rPr>
        <w:t>mus</w:t>
      </w:r>
      <w:r w:rsidR="000A13B2">
        <w:rPr>
          <w:rFonts w:eastAsia="Calibri" w:cs="Arial"/>
          <w:szCs w:val="20"/>
        </w:rPr>
        <w:t>zą</w:t>
      </w:r>
      <w:r w:rsidR="009F1A4A">
        <w:rPr>
          <w:rFonts w:eastAsia="Calibri" w:cs="Arial"/>
          <w:szCs w:val="20"/>
        </w:rPr>
        <w:t xml:space="preserve"> być fabrycznie now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i nieużywan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9" w:name="_Hlk62805908"/>
      <w:r w:rsidR="009F1A4A">
        <w:rPr>
          <w:noProof/>
        </w:rPr>
        <w:t>(rok produkcji: nie wcześniej niż 202</w:t>
      </w:r>
      <w:r w:rsidR="00424ADA">
        <w:rPr>
          <w:noProof/>
        </w:rPr>
        <w:t>3</w:t>
      </w:r>
      <w:r w:rsidR="009F1A4A">
        <w:rPr>
          <w:noProof/>
        </w:rPr>
        <w:t>)</w:t>
      </w:r>
      <w:r w:rsidR="00F01E4E">
        <w:rPr>
          <w:noProof/>
        </w:rPr>
        <w:t xml:space="preserve"> </w:t>
      </w:r>
      <w:r w:rsidR="009F1A4A">
        <w:rPr>
          <w:noProof/>
        </w:rPr>
        <w:t>posiadać stosowne certyfikaty, być dopuszczon</w:t>
      </w:r>
      <w:r w:rsidR="000A13B2">
        <w:rPr>
          <w:noProof/>
        </w:rPr>
        <w:t>e</w:t>
      </w:r>
      <w:r w:rsidR="009F1A4A">
        <w:rPr>
          <w:noProof/>
        </w:rPr>
        <w:t xml:space="preserve"> do sprzedaży i</w:t>
      </w:r>
      <w:r w:rsidR="00876992">
        <w:rPr>
          <w:noProof/>
        </w:rPr>
        <w:t> </w:t>
      </w:r>
      <w:r w:rsidR="009F1A4A">
        <w:rPr>
          <w:noProof/>
        </w:rPr>
        <w:t>użytkowania na terenie RP.</w:t>
      </w:r>
      <w:bookmarkEnd w:id="9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876992">
        <w:rPr>
          <w:rFonts w:eastAsia="Calibri" w:cs="Arial"/>
          <w:szCs w:val="20"/>
        </w:rPr>
        <w:t>urządzeń</w:t>
      </w:r>
      <w:r w:rsidR="009F1A4A">
        <w:rPr>
          <w:rFonts w:eastAsia="Calibri" w:cs="Arial"/>
          <w:bCs w:val="0"/>
          <w:szCs w:val="20"/>
        </w:rPr>
        <w:t>.</w:t>
      </w:r>
    </w:p>
    <w:p w14:paraId="5EF931F0" w14:textId="5B9F98C4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dostarczenie </w:t>
      </w:r>
      <w:r w:rsidR="00876992">
        <w:rPr>
          <w:rFonts w:eastAsia="Calibri" w:cs="Arial"/>
          <w:szCs w:val="20"/>
        </w:rPr>
        <w:t>urządzeń</w:t>
      </w:r>
      <w:r w:rsidR="00876992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1C5BF5">
        <w:rPr>
          <w:rFonts w:eastAsia="Calibri" w:cs="Arial"/>
          <w:bCs/>
          <w:szCs w:val="20"/>
        </w:rPr>
        <w:t xml:space="preserve">. 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lastRenderedPageBreak/>
        <w:t xml:space="preserve">Nazwy i kody dotyczące przedmiotu zamówienia zgodnie z nomenklaturą określoną we Wspólnym Słowniku Zamówień (CPV): </w:t>
      </w:r>
    </w:p>
    <w:p w14:paraId="28AFA448" w14:textId="7D2B121E" w:rsidR="00380E07" w:rsidRDefault="00876992" w:rsidP="005815A4">
      <w:pPr>
        <w:ind w:firstLine="0"/>
        <w:rPr>
          <w:rFonts w:cs="Arial"/>
          <w:szCs w:val="20"/>
          <w:lang w:eastAsia="pl-PL"/>
        </w:rPr>
      </w:pPr>
      <w:r w:rsidRPr="00876992">
        <w:rPr>
          <w:rFonts w:cs="Arial"/>
          <w:szCs w:val="20"/>
          <w:lang w:eastAsia="pl-PL"/>
        </w:rPr>
        <w:t xml:space="preserve">32420000-3 </w:t>
      </w:r>
      <w:r>
        <w:rPr>
          <w:rFonts w:cs="Arial"/>
          <w:szCs w:val="20"/>
          <w:lang w:eastAsia="pl-PL"/>
        </w:rPr>
        <w:t xml:space="preserve"> </w:t>
      </w:r>
      <w:r w:rsidRPr="00876992">
        <w:rPr>
          <w:rFonts w:cs="Arial"/>
          <w:szCs w:val="20"/>
          <w:lang w:eastAsia="pl-PL"/>
        </w:rPr>
        <w:t>Urządzenia sieciowe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3DBC5A7A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56F2BC0E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0A13B2">
        <w:rPr>
          <w:rFonts w:eastAsia="Calibri"/>
          <w:lang w:val="pl-PL"/>
        </w:rPr>
        <w:t>ych</w:t>
      </w:r>
      <w:r w:rsidR="009F21F0">
        <w:rPr>
          <w:rFonts w:eastAsia="Calibri"/>
        </w:rPr>
        <w:t xml:space="preserve"> </w:t>
      </w:r>
      <w:r w:rsidR="00876992">
        <w:rPr>
          <w:rFonts w:eastAsia="Calibri"/>
          <w:lang w:val="pl-PL"/>
        </w:rPr>
        <w:t>urządzeń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4DCB121C" w14:textId="77777777" w:rsidR="00C942B9" w:rsidRDefault="009F1A4A" w:rsidP="00E93F00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="00C942B9" w:rsidRPr="0055317F">
        <w:rPr>
          <w:rFonts w:eastAsia="Calibri"/>
        </w:rPr>
        <w:t xml:space="preserve">Zamawiający </w:t>
      </w:r>
      <w:r w:rsidR="00C942B9">
        <w:rPr>
          <w:rFonts w:eastAsia="Calibri"/>
        </w:rPr>
        <w:t xml:space="preserve">nie </w:t>
      </w:r>
      <w:r w:rsidR="00C942B9" w:rsidRPr="0055317F">
        <w:rPr>
          <w:rFonts w:eastAsia="Calibri"/>
        </w:rPr>
        <w:t>dopuszcza możliwoś</w:t>
      </w:r>
      <w:r w:rsidR="00C942B9">
        <w:rPr>
          <w:rFonts w:eastAsia="Calibri"/>
        </w:rPr>
        <w:t>ci</w:t>
      </w:r>
      <w:r w:rsidR="00C942B9" w:rsidRPr="0055317F">
        <w:rPr>
          <w:rFonts w:eastAsia="Calibri"/>
        </w:rPr>
        <w:t xml:space="preserve"> składania ofert częściowych</w:t>
      </w:r>
      <w:r w:rsidR="00C942B9">
        <w:rPr>
          <w:rFonts w:eastAsia="Calibri"/>
        </w:rPr>
        <w:t xml:space="preserve">. </w:t>
      </w:r>
      <w:r w:rsidR="00C942B9" w:rsidRPr="009C0D21">
        <w:rPr>
          <w:rFonts w:eastAsia="Calibri"/>
        </w:rPr>
        <w:t>Jeżeli chodzi o przyczyny braku podziału zamówienia na części, należy wskazać, iż c</w:t>
      </w:r>
      <w:r w:rsidR="00C942B9">
        <w:rPr>
          <w:rFonts w:eastAsia="Calibri"/>
        </w:rPr>
        <w:t>o do zasady mamy do czynienia z </w:t>
      </w:r>
      <w:r w:rsidR="00C942B9" w:rsidRPr="009C0D21">
        <w:rPr>
          <w:rFonts w:eastAsia="Calibri"/>
        </w:rPr>
        <w:t>zamówieniem jednorodnym</w:t>
      </w:r>
      <w:r w:rsidR="00C942B9">
        <w:rPr>
          <w:rFonts w:eastAsia="Calibri"/>
        </w:rPr>
        <w:t xml:space="preserve"> i</w:t>
      </w:r>
      <w:r w:rsidR="00C942B9"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 w:rsidR="00C942B9">
        <w:rPr>
          <w:rFonts w:eastAsia="Calibri"/>
        </w:rPr>
        <w:t>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6A23D876" w:rsidR="000518A0" w:rsidRPr="00382315" w:rsidRDefault="00F0343C" w:rsidP="00432B95">
      <w:pPr>
        <w:pStyle w:val="Nagwek2"/>
        <w:keepNext w:val="0"/>
        <w:ind w:left="567" w:hanging="283"/>
      </w:pPr>
      <w:r w:rsidRPr="00382315">
        <w:t xml:space="preserve">Termin realizacji zamówienia: do </w:t>
      </w:r>
      <w:r w:rsidR="00424ADA">
        <w:t>6</w:t>
      </w:r>
      <w:r w:rsidR="00132DCD">
        <w:t xml:space="preserve"> dni </w:t>
      </w:r>
      <w:r w:rsidRPr="00382315">
        <w:t xml:space="preserve">od daty </w:t>
      </w:r>
      <w:r w:rsidR="00876992">
        <w:t>otrzymania zamówienia</w:t>
      </w:r>
      <w:r w:rsidRPr="00382315">
        <w:t xml:space="preserve">. </w:t>
      </w:r>
    </w:p>
    <w:p w14:paraId="7BEEE217" w14:textId="3DEEA934" w:rsidR="00F85C46" w:rsidRPr="00BF716F" w:rsidRDefault="00F0343C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lastRenderedPageBreak/>
        <w:t xml:space="preserve">Warunki realizacji zamówienia, termin gwarancji, warunki płatności. </w:t>
      </w:r>
    </w:p>
    <w:p w14:paraId="14C0D6D7" w14:textId="342868B1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r w:rsidR="007058D6" w:rsidRPr="007058D6">
        <w:t>Uniwersytet Śląski w Katowicach, Zespół Infrastruktury Informatycznej Kampusu Katowickiego, ul. Uniwersytecka 4, pok. C 0.25, 40-007 Katowice</w:t>
      </w:r>
    </w:p>
    <w:p w14:paraId="22D293E9" w14:textId="6A202E60" w:rsidR="005351F1" w:rsidRPr="00876992" w:rsidRDefault="009F1A4A" w:rsidP="00876992">
      <w:pPr>
        <w:pStyle w:val="Nagwek3"/>
        <w:numPr>
          <w:ilvl w:val="0"/>
          <w:numId w:val="12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Pr="00A63A3E">
        <w:t>:</w:t>
      </w:r>
      <w:r w:rsidR="005351F1" w:rsidRPr="00876992">
        <w:rPr>
          <w:rFonts w:eastAsia="Calibri"/>
        </w:rPr>
        <w:t xml:space="preserve"> </w:t>
      </w:r>
      <w:r w:rsidR="00424ADA">
        <w:rPr>
          <w:b/>
        </w:rPr>
        <w:t>24</w:t>
      </w:r>
      <w:r w:rsidR="005351F1" w:rsidRPr="00876992">
        <w:rPr>
          <w:b/>
        </w:rPr>
        <w:t xml:space="preserve"> miesi</w:t>
      </w:r>
      <w:r w:rsidR="00424ADA">
        <w:rPr>
          <w:b/>
        </w:rPr>
        <w:t>ące.</w:t>
      </w:r>
    </w:p>
    <w:p w14:paraId="440E065C" w14:textId="740FA69E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432B95">
      <w:pPr>
        <w:pStyle w:val="Nagwek1"/>
        <w:keepNext w:val="0"/>
      </w:pPr>
      <w:bookmarkStart w:id="10" w:name="_Toc62396889"/>
      <w:r>
        <w:t>Przedmiotowe środki dowodowe.</w:t>
      </w:r>
      <w:bookmarkEnd w:id="10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5D227AA8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p w14:paraId="0EC85CEB" w14:textId="77777777" w:rsidR="00876992" w:rsidRDefault="00876992" w:rsidP="00432B95">
      <w:pPr>
        <w:spacing w:after="120"/>
        <w:ind w:left="567" w:firstLine="0"/>
      </w:pP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lastRenderedPageBreak/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1D374A75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Opis techniczny oferowanych </w:t>
            </w:r>
            <w:r w:rsidR="00876992">
              <w:rPr>
                <w:b w:val="0"/>
                <w:sz w:val="18"/>
                <w:szCs w:val="18"/>
              </w:rPr>
              <w:t>urządzeń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ych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876992">
              <w:rPr>
                <w:b w:val="0"/>
                <w:sz w:val="18"/>
                <w:szCs w:val="18"/>
              </w:rPr>
              <w:t>urządzeń</w:t>
            </w:r>
            <w:r w:rsidR="00876992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 do SWZ).</w:t>
            </w:r>
          </w:p>
          <w:p w14:paraId="51D98558" w14:textId="77777777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7B583BA5" w14:textId="34B1F071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1" w:name="_Toc375581634"/>
      <w:bookmarkStart w:id="12" w:name="_Toc375581816"/>
      <w:bookmarkStart w:id="13" w:name="_Toc375582133"/>
      <w:bookmarkStart w:id="14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lastRenderedPageBreak/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1394D643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>.</w:t>
      </w:r>
    </w:p>
    <w:p w14:paraId="42700365" w14:textId="3B25C378" w:rsidR="003716E3" w:rsidRPr="005509DC" w:rsidRDefault="003716E3" w:rsidP="003716E3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="00424ADA">
        <w:rPr>
          <w:rFonts w:eastAsia="Calibri"/>
          <w:color w:val="323E4F" w:themeColor="text2" w:themeShade="BF"/>
        </w:rPr>
        <w:t xml:space="preserve">t.j. </w:t>
      </w:r>
      <w:r w:rsidR="00424ADA" w:rsidRPr="00424ADA">
        <w:rPr>
          <w:rFonts w:eastAsia="Calibri"/>
          <w:color w:val="323E4F" w:themeColor="text2" w:themeShade="BF"/>
        </w:rPr>
        <w:t>Dz.U. 2024 poz. 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5E3F0B10" w14:textId="77777777" w:rsidR="003716E3" w:rsidRPr="00BC24AF" w:rsidRDefault="003716E3" w:rsidP="003716E3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BC24AF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C24AF">
        <w:rPr>
          <w:bCs w:val="0"/>
          <w:szCs w:val="20"/>
        </w:rPr>
        <w:t>późn</w:t>
      </w:r>
      <w:proofErr w:type="spellEnd"/>
      <w:r w:rsidRPr="00BC24AF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BC24AF">
        <w:rPr>
          <w:bCs w:val="0"/>
          <w:szCs w:val="20"/>
        </w:rPr>
        <w:t>późn</w:t>
      </w:r>
      <w:proofErr w:type="spellEnd"/>
      <w:r w:rsidRPr="00BC24AF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339848B1" w14:textId="7B07268B" w:rsidR="003716E3" w:rsidRPr="005509DC" w:rsidRDefault="003716E3" w:rsidP="003716E3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24ADA">
        <w:rPr>
          <w:bCs w:val="0"/>
          <w:szCs w:val="20"/>
        </w:rPr>
        <w:t>t.j</w:t>
      </w:r>
      <w:proofErr w:type="spellEnd"/>
      <w:r w:rsidR="00424ADA">
        <w:rPr>
          <w:bCs w:val="0"/>
          <w:szCs w:val="20"/>
        </w:rPr>
        <w:t xml:space="preserve">. </w:t>
      </w:r>
      <w:r w:rsidR="00424ADA" w:rsidRPr="00424ADA">
        <w:rPr>
          <w:bCs w:val="0"/>
          <w:szCs w:val="20"/>
        </w:rPr>
        <w:t>Dz.U. 2023 poz. 1124 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298D02" w14:textId="6417043C" w:rsidR="003716E3" w:rsidRPr="005509DC" w:rsidRDefault="003716E3" w:rsidP="003716E3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="00424ADA">
        <w:rPr>
          <w:bCs w:val="0"/>
          <w:szCs w:val="20"/>
        </w:rPr>
        <w:t>t.j</w:t>
      </w:r>
      <w:proofErr w:type="spellEnd"/>
      <w:r w:rsidR="00424ADA">
        <w:rPr>
          <w:bCs w:val="0"/>
          <w:szCs w:val="20"/>
        </w:rPr>
        <w:t xml:space="preserve">. </w:t>
      </w:r>
      <w:r w:rsidR="00424ADA" w:rsidRPr="00424ADA">
        <w:rPr>
          <w:bCs w:val="0"/>
          <w:szCs w:val="20"/>
        </w:rPr>
        <w:t>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9137657" w14:textId="77777777" w:rsidR="003716E3" w:rsidRPr="005509DC" w:rsidRDefault="003716E3" w:rsidP="003716E3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lastRenderedPageBreak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AAFE81B" w14:textId="77777777" w:rsidR="003716E3" w:rsidRPr="005509DC" w:rsidRDefault="003716E3" w:rsidP="003716E3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4968416E" w14:textId="77777777" w:rsidR="003716E3" w:rsidRPr="00BC24AF" w:rsidRDefault="003716E3" w:rsidP="003716E3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53A110F9" w:rsidR="007E1600" w:rsidRDefault="007F1CC6" w:rsidP="00432B95">
      <w:pPr>
        <w:pStyle w:val="Nagwek1"/>
        <w:keepNext w:val="0"/>
      </w:pPr>
      <w:bookmarkStart w:id="15" w:name="_Toc62396891"/>
      <w:r>
        <w:t>Kwalifikacja podmiotowa – warunki udziału w postępowaniu.</w:t>
      </w:r>
      <w:bookmarkEnd w:id="15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16" w:name="_Toc62396892"/>
      <w:r>
        <w:rPr>
          <w:noProof/>
        </w:rPr>
        <w:t>Oświadczenie wstępne, podmiotowe środki dowodowe oraz inne dokumenty.</w:t>
      </w:r>
      <w:bookmarkEnd w:id="16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D302FF6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p w14:paraId="6CACD8D1" w14:textId="3E06ABDC" w:rsidR="00876992" w:rsidRDefault="00876992" w:rsidP="00876992">
      <w:pPr>
        <w:pStyle w:val="Tekstpodstawowy"/>
        <w:rPr>
          <w:lang w:val="pl-PL" w:eastAsia="x-none"/>
        </w:rPr>
      </w:pPr>
    </w:p>
    <w:p w14:paraId="20FBD9FC" w14:textId="77777777" w:rsidR="00876992" w:rsidRPr="00876992" w:rsidRDefault="00876992" w:rsidP="00876992">
      <w:pPr>
        <w:pStyle w:val="Tekstpodstawowy"/>
        <w:rPr>
          <w:lang w:val="pl-PL" w:eastAsia="x-none"/>
        </w:rPr>
      </w:pP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180DCC53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17" w:name="_Toc62396893"/>
      <w:r w:rsidRPr="00E054BA">
        <w:t>Wymagania dotyczące wadium.</w:t>
      </w:r>
      <w:bookmarkStart w:id="18" w:name="OLE_LINK1"/>
      <w:bookmarkEnd w:id="17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392B641A" w14:textId="77777777" w:rsidR="00C03111" w:rsidRDefault="00C03111">
      <w:pPr>
        <w:rPr>
          <w:rFonts w:eastAsia="Arial Unicode MS" w:cs="Times New Roman"/>
          <w:b/>
          <w:bCs/>
          <w:color w:val="323E4F" w:themeColor="text2" w:themeShade="BF"/>
          <w:sz w:val="24"/>
          <w:lang w:eastAsia="x-none"/>
        </w:rPr>
      </w:pPr>
      <w:bookmarkStart w:id="19" w:name="_Toc62396894"/>
      <w:bookmarkEnd w:id="18"/>
      <w:r>
        <w:br w:type="page"/>
      </w:r>
    </w:p>
    <w:p w14:paraId="4043A489" w14:textId="212F931C" w:rsidR="00F85C46" w:rsidRPr="00E054BA" w:rsidRDefault="004B4CE9" w:rsidP="00432B95">
      <w:pPr>
        <w:pStyle w:val="Nagwek1"/>
        <w:keepNext w:val="0"/>
      </w:pPr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9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</w:t>
      </w:r>
      <w:r w:rsidRPr="00D05F0F">
        <w:rPr>
          <w:rFonts w:eastAsia="Calibri"/>
          <w:lang w:val="pl"/>
        </w:rPr>
        <w:lastRenderedPageBreak/>
        <w:t>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3A28723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lastRenderedPageBreak/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E0D51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5758C982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0" w:name="_wp2umuqo1p7z" w:colFirst="0" w:colLast="0"/>
      <w:bookmarkEnd w:id="20"/>
      <w:r w:rsidRPr="003439DD">
        <w:t xml:space="preserve">Formaty plików wykorzystywanych przez wykonawców powinny być zgodne z Rozporządzeniem Rady Ministrów z dnia </w:t>
      </w:r>
      <w:r w:rsidR="00485CEF">
        <w:t>21 maja</w:t>
      </w:r>
      <w:r w:rsidRPr="003439DD">
        <w:t xml:space="preserve"> 20</w:t>
      </w:r>
      <w:r w:rsidR="00485CEF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 xml:space="preserve">. </w:t>
      </w:r>
      <w:r w:rsidR="00485CEF" w:rsidRPr="00485CEF">
        <w:t>Dz.U. 2024 poz. 773</w:t>
      </w:r>
      <w:r w:rsidR="005A19CF">
        <w:t>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0FFF3FF1" w:rsidR="007206AE" w:rsidRDefault="001C43D0" w:rsidP="00432B95">
      <w:pPr>
        <w:pStyle w:val="Nagwek1"/>
        <w:keepNext w:val="0"/>
      </w:pPr>
      <w:bookmarkStart w:id="21" w:name="_Toc62396895"/>
      <w:r>
        <w:t>Opis sposobu przygotowania ofert.</w:t>
      </w:r>
      <w:bookmarkEnd w:id="21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C544E7F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w </w:t>
      </w:r>
      <w:r w:rsidRPr="00915A9C">
        <w:rPr>
          <w:rFonts w:eastAsia="Arial Unicode MS"/>
        </w:rPr>
        <w:lastRenderedPageBreak/>
        <w:t>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</w:t>
      </w:r>
      <w:r>
        <w:lastRenderedPageBreak/>
        <w:t>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6885EB3E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</w:t>
      </w:r>
      <w:r w:rsidR="00CD7956">
        <w:t xml:space="preserve"> (w miesiącach oraz bajtach</w:t>
      </w:r>
      <w:r w:rsidR="00BA3F9B">
        <w:t xml:space="preserve"> - dotyczy SSD</w:t>
      </w:r>
      <w:r w:rsidR="00CD7956">
        <w:t>)</w:t>
      </w:r>
      <w:r w:rsidR="00EE444D">
        <w:t>;</w:t>
      </w:r>
      <w:r w:rsidR="00EE444D" w:rsidRPr="00EE444D">
        <w:t xml:space="preserve">  </w:t>
      </w:r>
    </w:p>
    <w:p w14:paraId="5EF5C307" w14:textId="315F297E" w:rsidR="00EE444D" w:rsidRPr="00EE444D" w:rsidRDefault="008B0002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</w:t>
      </w:r>
      <w:r w:rsidR="009B6DB8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oraz term</w:t>
      </w:r>
      <w:r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673C2111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2B3E2A">
        <w:rPr>
          <w:rFonts w:eastAsia="Arial Unicode MS"/>
        </w:rPr>
        <w:t>e</w:t>
      </w:r>
      <w:r w:rsidR="005B5BA7">
        <w:rPr>
          <w:rFonts w:eastAsia="Arial Unicode MS"/>
        </w:rPr>
        <w:t xml:space="preserve"> </w:t>
      </w:r>
      <w:r w:rsidR="005B17BF">
        <w:rPr>
          <w:rFonts w:eastAsia="Arial Unicode MS"/>
        </w:rPr>
        <w:t>urządzenia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4F19C4F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B90552F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2" w:name="_Hlk64365305"/>
      <w:r w:rsidR="00C03111">
        <w:t>urządzeń</w:t>
      </w:r>
      <w:r w:rsidR="00D6386D" w:rsidRPr="00D6386D">
        <w:t xml:space="preserve">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2"/>
      <w:r w:rsidR="005B5BA7">
        <w:t xml:space="preserve">, </w:t>
      </w:r>
      <w:r w:rsidR="009B6DB8">
        <w:t xml:space="preserve">koszt </w:t>
      </w:r>
      <w:r w:rsidR="009B6DB8">
        <w:lastRenderedPageBreak/>
        <w:t>serwisu technicznego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2B5F23D3" w14:textId="49BFB301" w:rsidR="00D91289" w:rsidRDefault="00D91289" w:rsidP="00D91289">
      <w:pPr>
        <w:pStyle w:val="Nagwek3"/>
        <w:ind w:left="851" w:hanging="284"/>
      </w:pPr>
      <w:r>
        <w:t>J</w:t>
      </w:r>
      <w:r w:rsidRPr="00E60987">
        <w:t xml:space="preserve">eżeli, po zawarciu umowy Zamawiający uzyska potwierdzenie przez </w:t>
      </w:r>
      <w:proofErr w:type="spellStart"/>
      <w:r w:rsidRPr="00E60987">
        <w:t>M</w:t>
      </w:r>
      <w:r w:rsidR="00485CEF">
        <w:t>N</w:t>
      </w:r>
      <w:r>
        <w:t>i</w:t>
      </w:r>
      <w:r w:rsidR="00485CEF">
        <w:t>SW</w:t>
      </w:r>
      <w:proofErr w:type="spellEnd"/>
      <w:r w:rsidR="00485CEF">
        <w:t xml:space="preserve"> </w:t>
      </w:r>
      <w:r w:rsidRPr="00E60987">
        <w:t xml:space="preserve">(Ministerstwo </w:t>
      </w:r>
      <w:r>
        <w:t>Nauki</w:t>
      </w:r>
      <w:r w:rsidR="00485CEF">
        <w:t xml:space="preserve"> i Szkolnictwa Wyższego</w:t>
      </w:r>
      <w:r w:rsidRPr="00E60987">
        <w:t xml:space="preserve">), iż </w:t>
      </w:r>
      <w:r>
        <w:t>urządzenia</w:t>
      </w:r>
      <w:r w:rsidRPr="00E60987">
        <w:t xml:space="preserve"> będąc</w:t>
      </w:r>
      <w:r>
        <w:t>e</w:t>
      </w:r>
      <w:r w:rsidRPr="00E60987">
        <w:t xml:space="preserve"> przedmiotem umowy </w:t>
      </w:r>
      <w:r>
        <w:t>są</w:t>
      </w:r>
      <w:r w:rsidRPr="00E60987">
        <w:t xml:space="preserve"> przeznaczon</w:t>
      </w:r>
      <w:r>
        <w:t>e</w:t>
      </w:r>
      <w:r w:rsidRPr="00E60987">
        <w:t xml:space="preserve"> dla placówki oświatowej, Wykonawca będzie miał prawo do zastosowania stawki podatku VAT w</w:t>
      </w:r>
      <w:r>
        <w:t> </w:t>
      </w:r>
      <w:r w:rsidRPr="00E60987">
        <w:t>wysokości 0%.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3" w:name="_Toc62396896"/>
      <w:r>
        <w:t>Sposób oraz termin składania ofert.</w:t>
      </w:r>
      <w:bookmarkEnd w:id="23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C5FF7C9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FE0D51" w:rsidRPr="00FE0D51">
        <w:rPr>
          <w:b/>
          <w:lang w:eastAsia="x-none"/>
        </w:rPr>
        <w:t>04.12.2024 r.</w:t>
      </w:r>
      <w:r w:rsidRPr="00FE0D51">
        <w:rPr>
          <w:b/>
          <w:lang w:eastAsia="x-none"/>
        </w:rPr>
        <w:t xml:space="preserve"> do godziny </w:t>
      </w:r>
      <w:r w:rsidR="00195B0B" w:rsidRPr="00FE0D51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4" w:name="_Toc62396897"/>
      <w:r w:rsidRPr="00E054BA">
        <w:t>Termin i tryb otwarcia ofert.</w:t>
      </w:r>
      <w:bookmarkEnd w:id="24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8301279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FE0D51" w:rsidRPr="00FE0D51">
        <w:rPr>
          <w:rFonts w:eastAsia="Calibri"/>
          <w:b/>
        </w:rPr>
        <w:t>04.12.2024 r.</w:t>
      </w:r>
      <w:r w:rsidR="009A7AB0" w:rsidRPr="00FE0D51">
        <w:rPr>
          <w:rFonts w:eastAsia="Calibri"/>
          <w:b/>
        </w:rPr>
        <w:t xml:space="preserve"> o godz. </w:t>
      </w:r>
      <w:r w:rsidR="00195B0B" w:rsidRPr="00FE0D51">
        <w:rPr>
          <w:rFonts w:eastAsia="Calibri"/>
          <w:b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84749C3" w14:textId="77777777" w:rsidR="00485CEF" w:rsidRDefault="00485CEF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5" w:name="_Toc62396898"/>
      <w:r>
        <w:br w:type="page"/>
      </w:r>
    </w:p>
    <w:p w14:paraId="5C68DBA6" w14:textId="5A4305ED" w:rsidR="0003593D" w:rsidRPr="0003593D" w:rsidRDefault="00B1250E" w:rsidP="00432B95">
      <w:pPr>
        <w:pStyle w:val="Nagwek1"/>
        <w:keepNext w:val="0"/>
      </w:pPr>
      <w:r>
        <w:lastRenderedPageBreak/>
        <w:t>Termin związania ofertą.</w:t>
      </w:r>
      <w:bookmarkEnd w:id="25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64F8D3A6" w14:textId="710BDA57" w:rsidR="00702C0C" w:rsidRPr="00485CEF" w:rsidRDefault="00D06776" w:rsidP="00485CEF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FE0D51">
        <w:t>02.01.2025 r.</w:t>
      </w:r>
      <w:bookmarkStart w:id="26" w:name="_GoBack"/>
      <w:bookmarkEnd w:id="26"/>
    </w:p>
    <w:p w14:paraId="2A2BB542" w14:textId="73DC4966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2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95427DE" w:rsidR="00F85C46" w:rsidRPr="00E054BA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323B45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E0B275E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lastRenderedPageBreak/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629E54FA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485CEF">
        <w:rPr>
          <w:rFonts w:ascii="Bahnschrift" w:hAnsi="Bahnschrift" w:cs="Arial"/>
          <w:szCs w:val="20"/>
          <w:lang w:val="pl-PL"/>
        </w:rPr>
        <w:t>6</w:t>
      </w:r>
      <w:r w:rsidRPr="00D239DE">
        <w:rPr>
          <w:rFonts w:ascii="Bahnschrift" w:hAnsi="Bahnschrift" w:cs="Arial"/>
          <w:szCs w:val="20"/>
        </w:rPr>
        <w:t xml:space="preserve"> dni od daty </w:t>
      </w:r>
      <w:r w:rsidR="00C03111">
        <w:rPr>
          <w:rFonts w:ascii="Bahnschrift" w:hAnsi="Bahnschrift" w:cs="Arial"/>
          <w:szCs w:val="20"/>
          <w:lang w:val="pl-PL"/>
        </w:rPr>
        <w:t>otrzymania zamówienia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4E2A7B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(pkt. 3</w:t>
      </w:r>
      <w:r w:rsidR="009D3C28" w:rsidRPr="004E2A7B">
        <w:rPr>
          <w:rFonts w:cs="Arial"/>
          <w:szCs w:val="20"/>
          <w:lang w:eastAsia="pl-PL"/>
        </w:rPr>
        <w:t xml:space="preserve"> </w:t>
      </w:r>
      <w:proofErr w:type="spellStart"/>
      <w:r w:rsidR="009D3C28" w:rsidRPr="004E2A7B">
        <w:rPr>
          <w:rFonts w:cs="Arial"/>
          <w:szCs w:val="20"/>
          <w:lang w:eastAsia="pl-PL"/>
        </w:rPr>
        <w:t>ppkt</w:t>
      </w:r>
      <w:proofErr w:type="spellEnd"/>
      <w:r w:rsidR="009D3C28" w:rsidRPr="004E2A7B">
        <w:rPr>
          <w:rFonts w:cs="Arial"/>
          <w:szCs w:val="20"/>
          <w:lang w:eastAsia="pl-PL"/>
        </w:rPr>
        <w:t>. 1</w:t>
      </w:r>
      <w:r w:rsidRPr="004E2A7B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5C9A9454" w:rsidR="00840C7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t xml:space="preserve">Zamawiający w ramach tego kryterium przyzna </w:t>
      </w:r>
      <w:r w:rsidRPr="00C03111">
        <w:rPr>
          <w:rFonts w:cs="Arial"/>
          <w:szCs w:val="20"/>
          <w:lang w:eastAsia="pl-PL"/>
        </w:rPr>
        <w:t xml:space="preserve">maksymalnie </w:t>
      </w:r>
      <w:r w:rsidR="00431A58" w:rsidRPr="00C03111">
        <w:rPr>
          <w:rFonts w:cs="Arial"/>
          <w:szCs w:val="20"/>
          <w:lang w:eastAsia="pl-PL"/>
        </w:rPr>
        <w:t>40</w:t>
      </w:r>
      <w:r w:rsidRPr="00C03111">
        <w:rPr>
          <w:rFonts w:cs="Arial"/>
          <w:szCs w:val="20"/>
          <w:lang w:eastAsia="pl-PL"/>
        </w:rPr>
        <w:t xml:space="preserve"> pkt</w:t>
      </w:r>
      <w:r w:rsidR="000418CC" w:rsidRPr="00C03111">
        <w:rPr>
          <w:rFonts w:cs="Arial"/>
          <w:szCs w:val="20"/>
          <w:lang w:eastAsia="pl-PL"/>
        </w:rPr>
        <w:t>;</w:t>
      </w:r>
    </w:p>
    <w:p w14:paraId="56585BBA" w14:textId="027A45ED" w:rsidR="004E2A7B" w:rsidRPr="004E2A7B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C03111">
        <w:rPr>
          <w:rFonts w:cs="Arial"/>
          <w:b/>
          <w:szCs w:val="20"/>
        </w:rPr>
        <w:t xml:space="preserve">za każdy dzień poniżej </w:t>
      </w:r>
      <w:r w:rsidR="00485CEF">
        <w:rPr>
          <w:rFonts w:cs="Arial"/>
          <w:b/>
          <w:szCs w:val="20"/>
        </w:rPr>
        <w:t>6</w:t>
      </w:r>
      <w:r w:rsidRPr="00C03111">
        <w:rPr>
          <w:rFonts w:cs="Arial"/>
          <w:b/>
          <w:szCs w:val="20"/>
        </w:rPr>
        <w:t xml:space="preserve"> dni Zamawiający przyzna </w:t>
      </w:r>
      <w:r w:rsidR="00485CEF">
        <w:rPr>
          <w:rFonts w:cs="Arial"/>
          <w:b/>
          <w:szCs w:val="20"/>
        </w:rPr>
        <w:t>8</w:t>
      </w:r>
      <w:r w:rsidR="00C03111" w:rsidRPr="00C03111">
        <w:rPr>
          <w:rFonts w:cs="Arial"/>
          <w:b/>
          <w:szCs w:val="20"/>
        </w:rPr>
        <w:t xml:space="preserve"> </w:t>
      </w:r>
      <w:r w:rsidR="001119A0" w:rsidRPr="00C03111">
        <w:rPr>
          <w:rFonts w:cs="Arial"/>
          <w:b/>
          <w:szCs w:val="20"/>
        </w:rPr>
        <w:t>punkt</w:t>
      </w:r>
      <w:r w:rsidR="00485CEF">
        <w:rPr>
          <w:rFonts w:cs="Arial"/>
          <w:b/>
          <w:szCs w:val="20"/>
        </w:rPr>
        <w:t>ów</w:t>
      </w:r>
      <w:r w:rsidRPr="004E2A7B">
        <w:rPr>
          <w:rFonts w:cs="Arial"/>
          <w:szCs w:val="20"/>
        </w:rPr>
        <w:t xml:space="preserve"> tj</w:t>
      </w:r>
      <w:r w:rsidR="001119A0"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4FFBEE01" w14:textId="1EAD38AC" w:rsidR="00C03111" w:rsidRPr="00573A48" w:rsidRDefault="00485CEF" w:rsidP="00C03111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6</w:t>
      </w:r>
      <w:r w:rsidR="00C03111" w:rsidRPr="00573A48">
        <w:rPr>
          <w:rFonts w:cs="Arial"/>
          <w:b/>
          <w:szCs w:val="20"/>
        </w:rPr>
        <w:t xml:space="preserve"> dni – 0 pkt, </w:t>
      </w:r>
      <w:r w:rsidR="00C03111"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5</w:t>
      </w:r>
      <w:r w:rsidR="00C03111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8</w:t>
      </w:r>
      <w:r w:rsidR="00C03111">
        <w:rPr>
          <w:rFonts w:cs="Arial"/>
          <w:szCs w:val="20"/>
        </w:rPr>
        <w:t xml:space="preserve"> </w:t>
      </w:r>
      <w:r w:rsidR="00C03111" w:rsidRPr="00573A48">
        <w:rPr>
          <w:rFonts w:cs="Arial"/>
          <w:szCs w:val="20"/>
        </w:rPr>
        <w:t xml:space="preserve">pkt; </w:t>
      </w:r>
      <w:r>
        <w:rPr>
          <w:rFonts w:cs="Arial"/>
          <w:szCs w:val="20"/>
        </w:rPr>
        <w:t>4</w:t>
      </w:r>
      <w:r w:rsidR="00C03111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16</w:t>
      </w:r>
      <w:r w:rsidR="00C03111" w:rsidRPr="00573A48">
        <w:rPr>
          <w:rFonts w:cs="Arial"/>
          <w:szCs w:val="20"/>
        </w:rPr>
        <w:t xml:space="preserve"> pkt; … ; </w:t>
      </w:r>
      <w:r>
        <w:rPr>
          <w:rFonts w:cs="Arial"/>
          <w:szCs w:val="20"/>
        </w:rPr>
        <w:t>2</w:t>
      </w:r>
      <w:r w:rsidR="00C03111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32</w:t>
      </w:r>
      <w:r w:rsidR="00C03111" w:rsidRPr="00573A48">
        <w:rPr>
          <w:rFonts w:cs="Arial"/>
          <w:szCs w:val="20"/>
        </w:rPr>
        <w:t xml:space="preserve"> pkt),</w:t>
      </w:r>
      <w:r w:rsidR="00C03111" w:rsidRPr="00573A4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1</w:t>
      </w:r>
      <w:r w:rsidR="00C03111" w:rsidRPr="00573A48">
        <w:rPr>
          <w:rFonts w:cs="Arial"/>
          <w:b/>
          <w:szCs w:val="20"/>
        </w:rPr>
        <w:t xml:space="preserve"> </w:t>
      </w:r>
      <w:r w:rsidR="00C03111">
        <w:rPr>
          <w:rFonts w:cs="Arial"/>
          <w:b/>
          <w:szCs w:val="20"/>
        </w:rPr>
        <w:t>d</w:t>
      </w:r>
      <w:r>
        <w:rPr>
          <w:rFonts w:cs="Arial"/>
          <w:b/>
          <w:szCs w:val="20"/>
        </w:rPr>
        <w:t>zień</w:t>
      </w:r>
      <w:r w:rsidR="00C03111">
        <w:rPr>
          <w:rFonts w:cs="Arial"/>
          <w:b/>
          <w:szCs w:val="20"/>
        </w:rPr>
        <w:t xml:space="preserve"> </w:t>
      </w:r>
      <w:r w:rsidR="00C03111" w:rsidRPr="00573A48">
        <w:rPr>
          <w:rFonts w:cs="Arial"/>
          <w:b/>
          <w:szCs w:val="20"/>
        </w:rPr>
        <w:t xml:space="preserve"> – </w:t>
      </w:r>
      <w:r w:rsidR="00C03111">
        <w:rPr>
          <w:rFonts w:cs="Arial"/>
          <w:b/>
          <w:szCs w:val="20"/>
        </w:rPr>
        <w:t>40</w:t>
      </w:r>
      <w:r w:rsidR="00C03111" w:rsidRPr="00573A48">
        <w:rPr>
          <w:rFonts w:cs="Arial"/>
          <w:b/>
          <w:szCs w:val="20"/>
        </w:rPr>
        <w:t xml:space="preserve"> pkt</w:t>
      </w:r>
      <w:r w:rsidR="00C03111">
        <w:rPr>
          <w:rFonts w:cs="Arial"/>
          <w:b/>
          <w:szCs w:val="20"/>
        </w:rPr>
        <w:t>;</w:t>
      </w:r>
    </w:p>
    <w:p w14:paraId="6F2E81F3" w14:textId="7700B7FE" w:rsid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485CEF">
        <w:rPr>
          <w:rFonts w:ascii="Bahnschrift" w:hAnsi="Bahnschrift" w:cs="Arial"/>
          <w:szCs w:val="20"/>
          <w:lang w:val="pl-PL"/>
        </w:rPr>
        <w:t>1 dzień</w:t>
      </w:r>
      <w:r w:rsidR="00F01E4E">
        <w:rPr>
          <w:rFonts w:ascii="Bahnschrift" w:hAnsi="Bahnschrift" w:cs="Arial"/>
          <w:szCs w:val="20"/>
          <w:lang w:val="pl-PL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 w:rsidR="00346B08">
        <w:rPr>
          <w:rFonts w:ascii="Bahnschrift" w:hAnsi="Bahnschrift" w:cs="Arial"/>
          <w:szCs w:val="20"/>
          <w:lang w:val="pl-PL"/>
        </w:rPr>
        <w:t>40</w:t>
      </w:r>
    </w:p>
    <w:p w14:paraId="368EBC75" w14:textId="7773FAA3" w:rsidR="00D6386D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485CEF">
        <w:rPr>
          <w:rFonts w:cs="Arial"/>
          <w:szCs w:val="20"/>
        </w:rPr>
        <w:t>6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73A48">
        <w:rPr>
          <w:rFonts w:cs="Arial"/>
          <w:szCs w:val="20"/>
          <w:lang w:eastAsia="pl-PL"/>
        </w:rPr>
        <w:t>.</w:t>
      </w:r>
    </w:p>
    <w:p w14:paraId="088B1F6F" w14:textId="77777777" w:rsidR="00485CEF" w:rsidRPr="007F0851" w:rsidRDefault="00485CEF" w:rsidP="00485CEF">
      <w:pPr>
        <w:widowControl w:val="0"/>
        <w:numPr>
          <w:ilvl w:val="0"/>
          <w:numId w:val="60"/>
        </w:numPr>
        <w:ind w:left="1560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5C41A6CF" w14:textId="77777777" w:rsidR="00485CEF" w:rsidRPr="007F0851" w:rsidRDefault="00485CEF" w:rsidP="00485CEF">
      <w:pPr>
        <w:widowControl w:val="0"/>
        <w:numPr>
          <w:ilvl w:val="0"/>
          <w:numId w:val="60"/>
        </w:numPr>
        <w:ind w:left="1560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>winien określić pełne dni potrzebne na zrealizowanie zamówienia, licząc od daty otrzymania zamówienia</w:t>
      </w:r>
      <w:r>
        <w:rPr>
          <w:rFonts w:eastAsia="Palatino Linotype" w:cs="Arial"/>
          <w:szCs w:val="20"/>
        </w:rPr>
        <w:t>;</w:t>
      </w:r>
    </w:p>
    <w:p w14:paraId="3763256B" w14:textId="5DA949F6" w:rsidR="00485CEF" w:rsidRDefault="00485CEF" w:rsidP="00485CEF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 przypadku podania terminu w niepełnych dniach np. 4,5 dnia, Zamawiający do celów punktacji zaokrągli podany termin w górę do pełnych dni (np. podanie terminu 4,5 dni – Zamawiający zaokrągli termin w górę do 5 dni)</w:t>
      </w:r>
    </w:p>
    <w:p w14:paraId="329AAE53" w14:textId="0E61D494" w:rsidR="00F85C46" w:rsidRPr="00E054BA" w:rsidRDefault="000A37EA" w:rsidP="00DC07BF">
      <w:pPr>
        <w:pStyle w:val="Nagwek3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>in realizacji;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3D55D64B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396C49D8" w14:textId="77777777" w:rsidR="00485CEF" w:rsidRDefault="00485CEF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201400F2" w14:textId="210AE12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lastRenderedPageBreak/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27EA314E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4C38AF86" w14:textId="1F8E5747" w:rsidR="000A7711" w:rsidRPr="00485CEF" w:rsidRDefault="00F85C46" w:rsidP="00485CE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28" w:name="_Toc62396900"/>
    </w:p>
    <w:p w14:paraId="302F5894" w14:textId="25EE90E0" w:rsidR="00F85C46" w:rsidRPr="00E054BA" w:rsidRDefault="00F85C46" w:rsidP="00432B95">
      <w:pPr>
        <w:pStyle w:val="Nagwek1"/>
        <w:keepNext w:val="0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5E723C0D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31397E91" w14:textId="77777777" w:rsidR="00485CEF" w:rsidRDefault="00485CEF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6213BFB5" w14:textId="32B6FDF5" w:rsidR="003925AC" w:rsidRPr="003925AC" w:rsidRDefault="003925AC" w:rsidP="00432B95">
      <w:pPr>
        <w:pStyle w:val="Nagwek2"/>
        <w:keepNext w:val="0"/>
        <w:ind w:left="567" w:hanging="283"/>
      </w:pPr>
      <w:r>
        <w:lastRenderedPageBreak/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432B95">
      <w:pPr>
        <w:pStyle w:val="Nagwek1"/>
        <w:keepNext w:val="0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lastRenderedPageBreak/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28B25013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C645451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C03111">
        <w:rPr>
          <w:b/>
          <w:lang w:val="pl-PL"/>
        </w:rPr>
        <w:t>382.1.</w:t>
      </w:r>
      <w:r w:rsidR="00485CEF">
        <w:rPr>
          <w:b/>
          <w:lang w:val="pl-PL"/>
        </w:rPr>
        <w:t>100</w:t>
      </w:r>
      <w:r w:rsidR="00C03111">
        <w:rPr>
          <w:b/>
          <w:lang w:val="pl-PL"/>
        </w:rPr>
        <w:t>.</w:t>
      </w:r>
      <w:r w:rsidR="00380E07">
        <w:rPr>
          <w:b/>
          <w:lang w:val="pl-PL"/>
        </w:rPr>
        <w:t>202</w:t>
      </w:r>
      <w:r w:rsidR="00485CEF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485CEF" w:rsidRPr="00485CEF">
        <w:rPr>
          <w:b/>
          <w:lang w:val="pl-PL"/>
        </w:rPr>
        <w:t>punktów dostępu bezprzewodowego</w:t>
      </w:r>
      <w:r w:rsidR="00485CEF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8200A07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</w:t>
      </w:r>
      <w:r w:rsidR="004203A7">
        <w:rPr>
          <w:lang w:val="pl-PL"/>
        </w:rPr>
        <w:t>0</w:t>
      </w:r>
      <w:r w:rsidR="00485CEF">
        <w:rPr>
          <w:lang w:val="pl-PL"/>
        </w:rPr>
        <w:t>24</w:t>
      </w:r>
      <w:r w:rsidR="0061008C" w:rsidRPr="007F153F">
        <w:t xml:space="preserve"> r. poz. </w:t>
      </w:r>
      <w:r w:rsidR="00485CEF">
        <w:rPr>
          <w:lang w:val="pl-PL"/>
        </w:rPr>
        <w:t>1320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</w:t>
      </w:r>
      <w:r w:rsidR="00C03111">
        <w:rPr>
          <w:lang w:val="pl-PL"/>
        </w:rPr>
        <w:t>22</w:t>
      </w:r>
      <w:r w:rsidR="007F153F" w:rsidRPr="007F153F">
        <w:t xml:space="preserve"> r. poz. </w:t>
      </w:r>
      <w:r w:rsidR="00C03111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</w:t>
      </w:r>
      <w:r w:rsidR="003144B0">
        <w:rPr>
          <w:rFonts w:cs="Arial"/>
          <w:szCs w:val="20"/>
          <w:lang w:eastAsia="ar-SA"/>
        </w:rPr>
        <w:lastRenderedPageBreak/>
        <w:t>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E7107F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76" w:right="1134" w:bottom="1559" w:left="1134" w:header="426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424ADA" w:rsidRDefault="00424ADA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424ADA" w:rsidRDefault="00424AD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90B74" w14:textId="77777777" w:rsidR="00424ADA" w:rsidRPr="00F84EF3" w:rsidRDefault="00424ADA" w:rsidP="00E7107F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80768" behindDoc="1" locked="0" layoutInCell="1" allowOverlap="1" wp14:anchorId="0CC0393D" wp14:editId="5DBAA0E8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83840" behindDoc="1" locked="0" layoutInCell="1" allowOverlap="1" wp14:anchorId="276CD372" wp14:editId="14F87882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22910A5" w14:textId="77777777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5C7069EC" w14:textId="77777777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1B33E0A1" wp14:editId="303D4C5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63D2B8" w14:textId="77777777" w:rsidR="00424ADA" w:rsidRPr="00554026" w:rsidRDefault="00424ADA" w:rsidP="00E7107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33E0A1" id="Prostokąt 3" o:spid="_x0000_s1026" style="position:absolute;left:0;text-align:left;margin-left:5.05pt;margin-top:721.8pt;width:45.7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63D2B8" w14:textId="77777777" w:rsidR="00424ADA" w:rsidRPr="00554026" w:rsidRDefault="00424ADA" w:rsidP="00E7107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5F9C76B9" w14:textId="77777777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3AA5925F" wp14:editId="7CED2345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7DA93" w14:textId="77777777" w:rsidR="00424ADA" w:rsidRPr="003A2237" w:rsidRDefault="00424ADA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A5925F" id="Prostokąt 5" o:spid="_x0000_s1027" style="position:absolute;left:0;text-align:left;margin-left:20.9pt;margin-top:694.4pt;width:23.9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MrBLa+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5697DA93" w14:textId="77777777" w:rsidR="00424ADA" w:rsidRPr="003A2237" w:rsidRDefault="00424ADA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08377F1" w14:textId="77777777" w:rsidR="00424ADA" w:rsidRDefault="00424ADA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BABFABF" w14:textId="306F0953" w:rsidR="00424ADA" w:rsidRPr="00E7107F" w:rsidRDefault="00FE0D51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424ADA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424ADA" w:rsidRPr="00F84EF3" w:rsidRDefault="00424ADA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5648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8720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424ADA" w:rsidRPr="00602A59" w:rsidRDefault="00424ADA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5D963FDF" wp14:editId="681D274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424ADA" w:rsidRPr="003A2237" w:rsidRDefault="00424ADA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8" style="position:absolute;left:0;text-align:left;margin-left:20.9pt;margin-top:694.4pt;width:23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71C1119F" w14:textId="77777777" w:rsidR="00424ADA" w:rsidRPr="003A2237" w:rsidRDefault="00424ADA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424ADA" w:rsidRDefault="00424ADA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424ADA" w:rsidRPr="00E7107F" w:rsidRDefault="00FE0D51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424ADA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424ADA" w:rsidRDefault="00424ADA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424ADA" w:rsidRDefault="00424AD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BC85" w14:textId="530EE717" w:rsidR="00424ADA" w:rsidRPr="00DD4546" w:rsidRDefault="00424ADA" w:rsidP="00DD4546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BF5F" w14:textId="035DDC46" w:rsidR="00424ADA" w:rsidRPr="00E7107F" w:rsidRDefault="00424ADA" w:rsidP="00E710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1" locked="1" layoutInCell="1" allowOverlap="1" wp14:anchorId="42D8223A" wp14:editId="78A5D8C5">
          <wp:simplePos x="0" y="0"/>
          <wp:positionH relativeFrom="page">
            <wp:posOffset>148590</wp:posOffset>
          </wp:positionH>
          <wp:positionV relativeFrom="page">
            <wp:posOffset>-196215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CB54D350"/>
    <w:lvl w:ilvl="0" w:tplc="627A6240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14"/>
  </w:num>
  <w:num w:numId="10">
    <w:abstractNumId w:val="3"/>
  </w:num>
  <w:num w:numId="11">
    <w:abstractNumId w:val="13"/>
  </w:num>
  <w:num w:numId="12">
    <w:abstractNumId w:val="3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3"/>
    <w:lvlOverride w:ilvl="0">
      <w:startOverride w:val="2"/>
    </w:lvlOverride>
  </w:num>
  <w:num w:numId="19">
    <w:abstractNumId w:val="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2"/>
    </w:lvlOverride>
  </w:num>
  <w:num w:numId="36">
    <w:abstractNumId w:val="5"/>
  </w:num>
  <w:num w:numId="37">
    <w:abstractNumId w:val="1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6"/>
    <w:lvlOverride w:ilvl="0">
      <w:startOverride w:val="2"/>
    </w:lvlOverride>
  </w:num>
  <w:num w:numId="40">
    <w:abstractNumId w:val="3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10"/>
  </w:num>
  <w:num w:numId="51">
    <w:abstractNumId w:val="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2"/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16"/>
  </w:num>
  <w:num w:numId="65">
    <w:abstractNumId w:val="13"/>
    <w:lvlOverride w:ilvl="0">
      <w:startOverride w:val="1"/>
    </w:lvlOverride>
  </w:num>
  <w:num w:numId="66">
    <w:abstractNumId w:val="13"/>
  </w:num>
  <w:num w:numId="67">
    <w:abstractNumId w:val="1"/>
  </w:num>
  <w:num w:numId="68">
    <w:abstractNumId w:val="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814C5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D05CD"/>
    <w:rsid w:val="001E0A1D"/>
    <w:rsid w:val="001E75E7"/>
    <w:rsid w:val="001F5366"/>
    <w:rsid w:val="00200A27"/>
    <w:rsid w:val="00221638"/>
    <w:rsid w:val="00226310"/>
    <w:rsid w:val="00230DE9"/>
    <w:rsid w:val="002318AB"/>
    <w:rsid w:val="00241D9C"/>
    <w:rsid w:val="00244022"/>
    <w:rsid w:val="0024743B"/>
    <w:rsid w:val="00272E3F"/>
    <w:rsid w:val="00273DD9"/>
    <w:rsid w:val="002767DF"/>
    <w:rsid w:val="00297EB3"/>
    <w:rsid w:val="002A3574"/>
    <w:rsid w:val="002A50F6"/>
    <w:rsid w:val="002B20B0"/>
    <w:rsid w:val="002B3B39"/>
    <w:rsid w:val="002B3E2A"/>
    <w:rsid w:val="002B5872"/>
    <w:rsid w:val="002B6782"/>
    <w:rsid w:val="002D273D"/>
    <w:rsid w:val="002D2F12"/>
    <w:rsid w:val="002D64F0"/>
    <w:rsid w:val="002E4CF0"/>
    <w:rsid w:val="002E4D53"/>
    <w:rsid w:val="002E6FCD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16E3"/>
    <w:rsid w:val="00373EA2"/>
    <w:rsid w:val="00380E07"/>
    <w:rsid w:val="00382315"/>
    <w:rsid w:val="00384DA3"/>
    <w:rsid w:val="003851AE"/>
    <w:rsid w:val="00385E23"/>
    <w:rsid w:val="003925AC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24ADA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85CEF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51F1"/>
    <w:rsid w:val="0055317F"/>
    <w:rsid w:val="00553D74"/>
    <w:rsid w:val="00557CB8"/>
    <w:rsid w:val="005625C2"/>
    <w:rsid w:val="005815A4"/>
    <w:rsid w:val="00584E90"/>
    <w:rsid w:val="00586657"/>
    <w:rsid w:val="00593C25"/>
    <w:rsid w:val="005968E9"/>
    <w:rsid w:val="005A19CF"/>
    <w:rsid w:val="005A269D"/>
    <w:rsid w:val="005B17BF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2C0C"/>
    <w:rsid w:val="007058D6"/>
    <w:rsid w:val="0070662F"/>
    <w:rsid w:val="0071379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6992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E770B"/>
    <w:rsid w:val="009F1A4A"/>
    <w:rsid w:val="009F21F0"/>
    <w:rsid w:val="009F5C6B"/>
    <w:rsid w:val="009F6A1C"/>
    <w:rsid w:val="00A0368D"/>
    <w:rsid w:val="00A2561E"/>
    <w:rsid w:val="00A57F79"/>
    <w:rsid w:val="00A62353"/>
    <w:rsid w:val="00A62983"/>
    <w:rsid w:val="00A62DD6"/>
    <w:rsid w:val="00A63A3E"/>
    <w:rsid w:val="00A75135"/>
    <w:rsid w:val="00A8536A"/>
    <w:rsid w:val="00A859E4"/>
    <w:rsid w:val="00A867B7"/>
    <w:rsid w:val="00A953DB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BB9"/>
    <w:rsid w:val="00BF716F"/>
    <w:rsid w:val="00BF753A"/>
    <w:rsid w:val="00C03111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942B9"/>
    <w:rsid w:val="00CA3460"/>
    <w:rsid w:val="00CC1292"/>
    <w:rsid w:val="00CD1C73"/>
    <w:rsid w:val="00CD5AEB"/>
    <w:rsid w:val="00CD6350"/>
    <w:rsid w:val="00CD7956"/>
    <w:rsid w:val="00CE4834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10A4"/>
    <w:rsid w:val="00D31A33"/>
    <w:rsid w:val="00D54C1C"/>
    <w:rsid w:val="00D56319"/>
    <w:rsid w:val="00D61394"/>
    <w:rsid w:val="00D6386D"/>
    <w:rsid w:val="00D65CB7"/>
    <w:rsid w:val="00D749C0"/>
    <w:rsid w:val="00D77D1A"/>
    <w:rsid w:val="00D83EC3"/>
    <w:rsid w:val="00D91289"/>
    <w:rsid w:val="00D963CD"/>
    <w:rsid w:val="00DA216F"/>
    <w:rsid w:val="00DA74F9"/>
    <w:rsid w:val="00DB261B"/>
    <w:rsid w:val="00DB655D"/>
    <w:rsid w:val="00DC07BF"/>
    <w:rsid w:val="00DC2D61"/>
    <w:rsid w:val="00DD4546"/>
    <w:rsid w:val="00DE1639"/>
    <w:rsid w:val="00DE5C7D"/>
    <w:rsid w:val="00DE720A"/>
    <w:rsid w:val="00E054BA"/>
    <w:rsid w:val="00E142EA"/>
    <w:rsid w:val="00E1454C"/>
    <w:rsid w:val="00E1641F"/>
    <w:rsid w:val="00E23287"/>
    <w:rsid w:val="00E25C1E"/>
    <w:rsid w:val="00E34B9F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59AD"/>
    <w:rsid w:val="00F65A36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0D51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34DC32"/>
  <w15:docId w15:val="{7031BCF4-5047-4DB0-9D83-F837EBB4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5408D-CC14-4261-88F9-F4358A6D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6384</TotalTime>
  <Pages>25</Pages>
  <Words>8914</Words>
  <Characters>53484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151</cp:revision>
  <cp:lastPrinted>2021-02-22T07:55:00Z</cp:lastPrinted>
  <dcterms:created xsi:type="dcterms:W3CDTF">2020-01-24T10:28:00Z</dcterms:created>
  <dcterms:modified xsi:type="dcterms:W3CDTF">2024-11-26T08:55:00Z</dcterms:modified>
</cp:coreProperties>
</file>