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DFF293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54A747EA" w:rsidR="0020799D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C4908" w:rsidRPr="009C4908">
        <w:rPr>
          <w:rFonts w:ascii="Arial" w:hAnsi="Arial" w:cs="Arial"/>
          <w:b/>
          <w:bCs/>
          <w:sz w:val="22"/>
          <w:szCs w:val="22"/>
        </w:rPr>
        <w:t>Wykonanie wycen nieruchomości (185 nieruchomości)</w:t>
      </w:r>
    </w:p>
    <w:p w14:paraId="2BD4DF88" w14:textId="77777777" w:rsidR="00084FD8" w:rsidRPr="0077672F" w:rsidRDefault="00084FD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5E373FB0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9C4908">
        <w:rPr>
          <w:rFonts w:ascii="Arial" w:eastAsia="Calibri" w:hAnsi="Arial" w:cs="Arial"/>
        </w:rPr>
        <w:t>83.250,00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2023-09-05T11:06:00Z</cp:lastPrinted>
  <dcterms:created xsi:type="dcterms:W3CDTF">2023-12-05T10:17:00Z</dcterms:created>
  <dcterms:modified xsi:type="dcterms:W3CDTF">2024-01-16T14:03:00Z</dcterms:modified>
</cp:coreProperties>
</file>