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1a do </w:t>
      </w:r>
      <w:proofErr w:type="spellStart"/>
      <w:r>
        <w:rPr>
          <w:b w:val="0"/>
          <w:sz w:val="24"/>
          <w:szCs w:val="24"/>
          <w:u w:val="none"/>
        </w:rPr>
        <w:t>SWZ</w:t>
      </w:r>
      <w:proofErr w:type="spellEnd"/>
      <w:r>
        <w:rPr>
          <w:b w:val="0"/>
          <w:sz w:val="24"/>
          <w:szCs w:val="24"/>
          <w:u w:val="none"/>
        </w:rPr>
        <w:t xml:space="preserve"> – formularz oferty</w:t>
      </w:r>
    </w:p>
    <w:p>
      <w:pPr>
        <w:pStyle w:val="Standard"/>
        <w:spacing w:line="276" w:lineRule="auto"/>
        <w:rPr>
          <w:lang w:eastAsia="ar-SA"/>
        </w:rPr>
      </w:pPr>
    </w:p>
    <w:p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>
      <w:pPr>
        <w:pStyle w:val="Standard"/>
        <w:spacing w:line="360" w:lineRule="auto"/>
      </w:pPr>
      <w:r>
        <w:t>reprezentowany przez:</w:t>
      </w:r>
    </w:p>
    <w:p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 </w:t>
      </w:r>
    </w:p>
    <w:p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Textbodyindent"/>
        <w:tabs>
          <w:tab w:val="left" w:pos="0"/>
        </w:tabs>
        <w:spacing w:line="360" w:lineRule="auto"/>
        <w:ind w:firstLine="0"/>
        <w:jc w:val="both"/>
      </w:pPr>
      <w:r>
        <w:t xml:space="preserve">Na potrzeby postępowania o udzielenie zamówienia publicznego pn.: </w:t>
      </w:r>
      <w:bookmarkStart w:id="0" w:name="_Hlk136260085"/>
      <w:r>
        <w:rPr>
          <w:rFonts w:cs="Source Sans Pro"/>
          <w:b/>
          <w:bCs/>
          <w:color w:val="000000"/>
        </w:rPr>
        <w:t>„</w:t>
      </w:r>
      <w:r>
        <w:rPr>
          <w:b/>
          <w:bCs/>
          <w:i/>
          <w:iCs/>
          <w:color w:val="000000"/>
          <w:lang w:eastAsia="pl-PL"/>
        </w:rPr>
        <w:t>Dostawa i wdrożenie systemu monitoringu i zarządzania zużyciem energii i wody w obiektach Miasta Cieszyn”</w:t>
      </w:r>
      <w:bookmarkEnd w:id="0"/>
      <w:r>
        <w:rPr>
          <w:rStyle w:val="Mocnewyrnione"/>
          <w:rFonts w:cs="Arial"/>
          <w:b w:val="0"/>
          <w:bCs w:val="0"/>
          <w:color w:val="000000"/>
        </w:rPr>
        <w:t xml:space="preserve"> prowadzonego przez Gminę Cieszyn, Rynek 1, 43-400 Cieszyn oświadczam/my, że: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treścią specyfikacji warunków zamówienia i nie wnoszę do nich zastrzeżeń.  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9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Akapitzlist"/>
        <w:numPr>
          <w:ilvl w:val="0"/>
          <w:numId w:val="2"/>
        </w:numPr>
        <w:tabs>
          <w:tab w:val="left" w:pos="57"/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terminach określonych w </w:t>
      </w:r>
      <w:proofErr w:type="spellStart"/>
      <w:r>
        <w:rPr>
          <w:color w:val="000000"/>
          <w:lang w:eastAsia="ar-SA"/>
        </w:rPr>
        <w:t>SWZ</w:t>
      </w:r>
      <w:proofErr w:type="spellEnd"/>
      <w:r>
        <w:rPr>
          <w:color w:val="000000"/>
          <w:lang w:eastAsia="ar-SA" w:bidi="pl-PL"/>
        </w:rPr>
        <w:t>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rFonts w:ascii="MS Gothic" w:eastAsia="MS Gothic" w:hAnsi="MS Gothic"/>
        </w:rPr>
        <w:t>☐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rFonts w:ascii="MS Gothic" w:eastAsia="MS Gothic" w:hAnsi="MS Gothic"/>
        </w:rPr>
        <w:t>☐</w:t>
      </w:r>
      <w:r>
        <w:rPr>
          <w:b/>
          <w:color w:val="000000"/>
          <w:shd w:val="clear" w:color="auto" w:fill="FFFFFF"/>
          <w:lang w:eastAsia="ar-SA"/>
        </w:rPr>
        <w:t xml:space="preserve"> małych / </w:t>
      </w:r>
      <w:r>
        <w:rPr>
          <w:rFonts w:ascii="MS Gothic" w:eastAsia="MS Gothic" w:hAnsi="MS Gothic"/>
          <w:color w:val="000000"/>
          <w:shd w:val="clear" w:color="auto" w:fill="FFFFFF"/>
          <w:lang w:eastAsia="ar-SA"/>
        </w:rPr>
        <w:t>☐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rFonts w:ascii="MS Gothic" w:eastAsia="MS Gothic" w:hAnsi="MS Gothic"/>
          <w:color w:val="000000"/>
          <w:shd w:val="clear" w:color="auto" w:fill="FFFFFF"/>
          <w:lang w:eastAsia="ar-SA"/>
        </w:rPr>
        <w:t>☐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>
        <w:rPr>
          <w:b/>
          <w:bCs/>
          <w:lang w:eastAsia="ar-SA"/>
        </w:rPr>
        <w:t xml:space="preserve">załącznik nr 4 do </w:t>
      </w:r>
      <w:proofErr w:type="spellStart"/>
      <w:r>
        <w:rPr>
          <w:b/>
          <w:bCs/>
          <w:lang w:eastAsia="ar-SA"/>
        </w:rPr>
        <w:t>SWZ</w:t>
      </w:r>
      <w:proofErr w:type="spellEnd"/>
      <w:r>
        <w:rPr>
          <w:lang w:eastAsia="ar-SA"/>
        </w:rPr>
        <w:t>, i zobowiązuję się, w przypadku wyboru mojej oferty jako najkorzystniejszej, do zawarcia umowy na warunkach w niej określonych w miejscu i terminie wyznaczonym przez zamawiającego.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rFonts w:ascii="MS Gothic" w:eastAsia="MS Gothic" w:hAnsi="MS Gothic"/>
          <w:color w:val="000000"/>
          <w:shd w:val="clear" w:color="auto" w:fill="FFFFFF"/>
          <w:lang w:eastAsia="ar-SA"/>
        </w:rPr>
        <w:t>☐</w:t>
      </w:r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rFonts w:ascii="MS Gothic" w:eastAsia="MS Gothic" w:hAnsi="MS Gothic"/>
          <w:color w:val="000000"/>
          <w:shd w:val="clear" w:color="auto" w:fill="FFFFFF"/>
          <w:lang w:eastAsia="ar-SA"/>
        </w:rPr>
        <w:t>☐</w:t>
      </w:r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 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Cena za realizację przedmiotu zamówienia wynosi:</w:t>
      </w:r>
    </w:p>
    <w:p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spacing w:before="240" w:after="160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Minimalny oszczędność energii końcowej:</w:t>
      </w:r>
    </w:p>
    <w:p>
      <w:pPr>
        <w:spacing w:after="160"/>
        <w:ind w:left="284"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………………..[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GJ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]</w:t>
      </w:r>
    </w:p>
    <w:p>
      <w:pPr>
        <w:spacing w:after="160"/>
        <w:ind w:left="284"/>
        <w:textAlignment w:val="auto"/>
        <w:rPr>
          <w:rFonts w:ascii="Times New Roman" w:eastAsia="Calibri" w:hAnsi="Times New Roman" w:cs="Times New Roman"/>
          <w:i/>
          <w:iCs/>
          <w:kern w:val="0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i/>
          <w:iCs/>
          <w:kern w:val="0"/>
          <w:u w:val="single"/>
          <w:lang w:eastAsia="en-US" w:bidi="ar-SA"/>
        </w:rPr>
        <w:t xml:space="preserve">Uwaga: Zamawiający nie dopuszcza ofert, dla których minimalna oszczędność energii końcowej wynosi </w:t>
      </w:r>
      <w:r>
        <w:rPr>
          <w:rFonts w:ascii="Times New Roman" w:eastAsia="Calibri" w:hAnsi="Times New Roman" w:cs="Times New Roman"/>
          <w:i/>
          <w:iCs/>
          <w:color w:val="000000" w:themeColor="text1"/>
          <w:kern w:val="0"/>
          <w:u w:val="single"/>
          <w:lang w:eastAsia="en-US" w:bidi="ar-SA"/>
        </w:rPr>
        <w:t>mniej niż 1000 [</w:t>
      </w:r>
      <w:proofErr w:type="spellStart"/>
      <w:r>
        <w:rPr>
          <w:rFonts w:ascii="Times New Roman" w:eastAsia="Calibri" w:hAnsi="Times New Roman" w:cs="Times New Roman"/>
          <w:i/>
          <w:iCs/>
          <w:color w:val="000000" w:themeColor="text1"/>
          <w:kern w:val="0"/>
          <w:u w:val="single"/>
          <w:lang w:eastAsia="en-US" w:bidi="ar-SA"/>
        </w:rPr>
        <w:t>GJ</w:t>
      </w:r>
      <w:proofErr w:type="spellEnd"/>
      <w:r>
        <w:rPr>
          <w:rFonts w:ascii="Times New Roman" w:eastAsia="Calibri" w:hAnsi="Times New Roman" w:cs="Times New Roman"/>
          <w:i/>
          <w:iCs/>
          <w:color w:val="000000" w:themeColor="text1"/>
          <w:kern w:val="0"/>
          <w:u w:val="single"/>
          <w:lang w:eastAsia="en-US" w:bidi="ar-SA"/>
        </w:rPr>
        <w:t>]</w:t>
      </w:r>
      <w:bookmarkStart w:id="1" w:name="_Hlk136521171"/>
      <w:bookmarkEnd w:id="1"/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rFonts w:ascii="MS Gothic" w:eastAsia="MS Gothic" w:hAnsi="MS Gothic"/>
        </w:rPr>
        <w:t>☐</w:t>
      </w:r>
      <w:r>
        <w:rPr>
          <w:i/>
          <w:color w:val="000000"/>
          <w:sz w:val="36"/>
        </w:rPr>
        <w:t xml:space="preserve"> </w:t>
      </w:r>
      <w:r>
        <w:t>nie będzie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>., Dz. U. z 2022 r. poz. 931 z późn. zm.);</w:t>
      </w:r>
    </w:p>
    <w:p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rFonts w:ascii="MS Gothic" w:eastAsia="MS Gothic" w:hAnsi="MS Gothic"/>
          <w:color w:val="000000"/>
          <w:shd w:val="clear" w:color="auto" w:fill="FFFFFF"/>
          <w:lang w:eastAsia="ar-SA"/>
        </w:rPr>
        <w:t>☐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>., Dz. U. z 2022 r. poz. 931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7"/>
        <w:gridCol w:w="3124"/>
        <w:gridCol w:w="2414"/>
        <w:gridCol w:w="2406"/>
      </w:tblGrid>
      <w:tr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>
      <w:pPr>
        <w:pStyle w:val="Standard"/>
        <w:ind w:left="426"/>
        <w:jc w:val="right"/>
        <w:rPr>
          <w:szCs w:val="24"/>
        </w:rPr>
      </w:pP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rFonts w:ascii="MS Gothic" w:eastAsia="MS Gothic" w:hAnsi="MS Gothic"/>
        </w:rPr>
        <w:t>☐</w:t>
      </w:r>
      <w:r>
        <w:rPr>
          <w:sz w:val="36"/>
        </w:rPr>
        <w:t xml:space="preserve"> </w:t>
      </w:r>
      <w:r>
        <w:t>samodzielnie,</w:t>
      </w:r>
    </w:p>
    <w:p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r>
        <w:rPr>
          <w:rFonts w:ascii="MS Gothic" w:eastAsia="MS Gothic" w:hAnsi="MS Gothic"/>
          <w:color w:val="000000"/>
          <w:shd w:val="clear" w:color="auto" w:fill="FFFFFF"/>
          <w:lang w:eastAsia="ar-SA"/>
        </w:rPr>
        <w:t>☐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>
        <w:trPr>
          <w:tblHeader/>
        </w:trPr>
        <w:tc>
          <w:tcPr>
            <w:tcW w:w="2991" w:type="dxa"/>
            <w:shd w:val="clear" w:color="auto" w:fill="A6A6A6" w:themeFill="background1" w:themeFillShade="A6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>
        <w:tc>
          <w:tcPr>
            <w:tcW w:w="2991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>
        <w:tc>
          <w:tcPr>
            <w:tcW w:w="2991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>
        <w:tc>
          <w:tcPr>
            <w:tcW w:w="2991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Kalkulacja cenowa– System do monitorowania,</w:t>
      </w:r>
    </w:p>
    <w:p>
      <w:pPr>
        <w:pStyle w:val="Akapitzlist"/>
        <w:numPr>
          <w:ilvl w:val="0"/>
          <w:numId w:val="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Kalkulacja cenowa – System do zarządzania,</w:t>
      </w:r>
    </w:p>
    <w:p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Kalkulacja cenowa – Zarządzanie zużyciem.</w:t>
      </w:r>
    </w:p>
    <w:p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1</w:t>
      </w:r>
      <w:r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2</w:t>
      </w:r>
      <w:r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i/>
          <w:color w:val="000000"/>
          <w:szCs w:val="24"/>
          <w:lang w:eastAsia="pl-PL"/>
        </w:rPr>
        <w:t>RODO</w:t>
      </w:r>
      <w:proofErr w:type="spellEnd"/>
      <w:r>
        <w:rPr>
          <w:i/>
          <w:color w:val="000000"/>
          <w:szCs w:val="24"/>
          <w:lang w:eastAsia="pl-PL"/>
        </w:rPr>
        <w:t xml:space="preserve"> treści oświadczenia wykonawca nie składa (usunięcie treści oświadczenia np. przez jego wykreślenie).</w:t>
      </w:r>
    </w:p>
    <w:p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>
        <w:rPr>
          <w:i/>
          <w:color w:val="000000"/>
          <w:szCs w:val="24"/>
          <w:vertAlign w:val="superscript"/>
          <w:lang w:eastAsia="pl-PL"/>
        </w:rPr>
        <w:t>3</w:t>
      </w:r>
      <w:r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 2022r. poz.931, z późn. zm.), dla celów zastosowania kryterium ceny lub kosztu zamawiający dolicza do przedstawionej w tej ofercie ceny kwotę podatku od towarów  i usług, którą miałby obowiązek rozliczyć. Wykonawca ma obowiązek: 1)poinformowania zamawiającego, że wybór jego oferty będzie prowadził do powstania u 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</w:t>
      </w:r>
      <w:r>
        <w:rPr>
          <w:i/>
          <w:color w:val="000000"/>
          <w:lang w:eastAsia="pl-PL"/>
        </w:rPr>
        <w:t xml:space="preserve">4) </w:t>
      </w:r>
      <w:r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lang w:eastAsia="pl-PL"/>
        </w:rPr>
        <w:tab/>
      </w: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>
        <w:rPr>
          <w:i/>
          <w:iCs/>
          <w:color w:val="000000"/>
          <w:szCs w:val="24"/>
          <w:lang w:eastAsia="pl-PL"/>
        </w:rPr>
        <w:t>* właściwe zaznaczyć</w:t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p>
      <w:pPr>
        <w:pStyle w:val="Standard"/>
        <w:spacing w:line="360" w:lineRule="auto"/>
        <w:rPr>
          <w:b/>
          <w:i/>
          <w:iCs/>
          <w:color w:val="000000"/>
          <w:szCs w:val="24"/>
          <w:lang w:eastAsia="pl-PL"/>
        </w:rPr>
      </w:pPr>
      <w:r>
        <w:rPr>
          <w:b/>
          <w:lang w:eastAsia="ar-SA"/>
        </w:rPr>
        <w:t>Kalkulacja cenowa – System do monitorowania</w:t>
      </w:r>
    </w:p>
    <w:tbl>
      <w:tblPr>
        <w:tblW w:w="8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80"/>
        <w:gridCol w:w="1251"/>
        <w:gridCol w:w="1080"/>
        <w:gridCol w:w="1080"/>
        <w:gridCol w:w="1259"/>
      </w:tblGrid>
      <w:tr>
        <w:trPr>
          <w:trHeight w:val="49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2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Wyszczególnienie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</w:tr>
      <w:tr>
        <w:trPr>
          <w:trHeight w:val="340"/>
        </w:trPr>
        <w:tc>
          <w:tcPr>
            <w:tcW w:w="6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Algorytmy i symulacje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6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Testy i szkolenia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97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Razem 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</w:tbl>
    <w:p>
      <w:pPr>
        <w:pStyle w:val="Standard"/>
        <w:spacing w:line="360" w:lineRule="auto"/>
        <w:rPr>
          <w:b/>
          <w:lang w:eastAsia="ar-SA"/>
        </w:rPr>
      </w:pPr>
    </w:p>
    <w:p>
      <w:pPr>
        <w:pStyle w:val="Standard"/>
        <w:spacing w:line="360" w:lineRule="auto"/>
        <w:rPr>
          <w:b/>
          <w:i/>
          <w:iCs/>
          <w:color w:val="000000"/>
          <w:szCs w:val="24"/>
          <w:lang w:eastAsia="pl-PL"/>
        </w:rPr>
      </w:pPr>
      <w:r>
        <w:rPr>
          <w:b/>
          <w:lang w:eastAsia="ar-SA"/>
        </w:rPr>
        <w:t>Kalkulacja cenowa – System do zarządzania</w:t>
      </w:r>
    </w:p>
    <w:tbl>
      <w:tblPr>
        <w:tblW w:w="8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901"/>
        <w:gridCol w:w="1159"/>
        <w:gridCol w:w="1161"/>
        <w:gridCol w:w="1159"/>
        <w:gridCol w:w="1160"/>
      </w:tblGrid>
      <w:tr>
        <w:trPr>
          <w:trHeight w:val="41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Wyszczególnienie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Szafka telemetryczna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Szafka telemetryczna Mini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Czujnik ciśnienia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Czujnik zalania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CCCCFF" w:fill="FFFFF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Licznik ciepła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CCCCFF" w:fill="FFFFF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Sterownik / regulator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CCCCFF" w:fill="FFFFF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Sterownik / regulator - moduł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Węzeł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podmieszania</w:t>
            </w:r>
            <w:proofErr w:type="spellEnd"/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  <w:bookmarkStart w:id="2" w:name="_GoBack"/>
        <w:bookmarkEnd w:id="2"/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Centrala wentylacyjna -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br/>
              <w:t>sterownik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Czujniki Temperatury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Okablowanie</w:t>
            </w:r>
          </w:p>
        </w:tc>
        <w:tc>
          <w:tcPr>
            <w:tcW w:w="1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Konfiguracja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585"/>
        </w:trPr>
        <w:tc>
          <w:tcPr>
            <w:tcW w:w="5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Serwer + konfiguracja, oprogramowanie, szkolenia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40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bottom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</w:tbl>
    <w:p>
      <w:pPr>
        <w:pStyle w:val="Standard"/>
        <w:spacing w:line="360" w:lineRule="auto"/>
        <w:rPr>
          <w:b/>
          <w:lang w:eastAsia="ar-SA"/>
        </w:rPr>
      </w:pPr>
    </w:p>
    <w:p>
      <w:pPr>
        <w:pStyle w:val="Standard"/>
        <w:spacing w:line="360" w:lineRule="auto"/>
        <w:rPr>
          <w:b/>
          <w:i/>
          <w:iCs/>
          <w:color w:val="000000"/>
          <w:szCs w:val="24"/>
          <w:lang w:eastAsia="pl-PL"/>
        </w:rPr>
      </w:pPr>
      <w:r>
        <w:rPr>
          <w:b/>
          <w:lang w:eastAsia="ar-SA"/>
        </w:rPr>
        <w:t>Kalkulacja cenowa – Zarządzanie zużyciem energii</w:t>
      </w:r>
    </w:p>
    <w:tbl>
      <w:tblPr>
        <w:tblW w:w="8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901"/>
        <w:gridCol w:w="1159"/>
        <w:gridCol w:w="1161"/>
        <w:gridCol w:w="1159"/>
        <w:gridCol w:w="1160"/>
      </w:tblGrid>
      <w:tr>
        <w:trPr>
          <w:trHeight w:val="4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Wyszczególnienie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</w:tr>
      <w:tr>
        <w:trPr>
          <w:trHeight w:val="34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Zarządzanie + Eksploatacja 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40"/>
        </w:trPr>
        <w:tc>
          <w:tcPr>
            <w:tcW w:w="579" w:type="dxa"/>
            <w:tcBorders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9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Szkolenia</w:t>
            </w:r>
          </w:p>
        </w:tc>
        <w:tc>
          <w:tcPr>
            <w:tcW w:w="115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6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  <w:tr>
        <w:trPr>
          <w:trHeight w:val="37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BFBFBF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</w:tcPr>
          <w:p>
            <w:pPr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-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</w:tcPr>
          <w:p>
            <w:pPr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PLN</w:t>
            </w:r>
          </w:p>
        </w:tc>
      </w:tr>
    </w:tbl>
    <w:p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</w:p>
    <w:sectPr>
      <w:headerReference w:type="default" r:id="rId7"/>
      <w:footerReference w:type="default" r:id="rId8"/>
      <w:pgSz w:w="11906" w:h="16838"/>
      <w:pgMar w:top="1361" w:right="1123" w:bottom="765" w:left="1418" w:header="510" w:footer="18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ind w:left="426"/>
      <w:jc w:val="center"/>
      <w:textAlignment w:val="auto"/>
      <w:rPr>
        <w:rFonts w:ascii="Palatino Linotype" w:eastAsia="Calibri Light" w:hAnsi="Palatino Linotype" w:cs="Calibri Light"/>
        <w:b/>
        <w:i/>
        <w:kern w:val="0"/>
        <w:sz w:val="39"/>
        <w:szCs w:val="39"/>
        <w:lang w:eastAsia="en-US" w:bidi="ar-SA"/>
      </w:rPr>
    </w:pPr>
    <w:r>
      <w:rPr>
        <w:rFonts w:ascii="Palatino Linotype" w:eastAsia="Calibri Light" w:hAnsi="Palatino Linotype" w:cs="Calibri Light"/>
        <w:bCs/>
        <w:i/>
        <w:color w:val="000000"/>
        <w:kern w:val="0"/>
        <w:sz w:val="20"/>
        <w:szCs w:val="20"/>
        <w:lang w:eastAsia="en-US" w:bidi="ar-SA"/>
      </w:rPr>
      <w:t>Projekt: „Cieszyn - miasto samowystarczalne” jest finansowany ze środków Norweskiego Mechanizmu Finansowego 2014-2021 w ramach programu „Rozwój lokalny".</w:t>
    </w:r>
  </w:p>
  <w:p>
    <w:pPr>
      <w:pStyle w:val="Stopka"/>
      <w:jc w:val="right"/>
      <w:rPr>
        <w:sz w:val="22"/>
        <w:szCs w:val="22"/>
      </w:rPr>
    </w:pPr>
    <w:r>
      <w:rPr>
        <w:sz w:val="22"/>
        <w:szCs w:val="22"/>
      </w:rPr>
      <w:t xml:space="preserve">str.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  <w:p>
    <w:pPr>
      <w:spacing w:after="160"/>
      <w:jc w:val="both"/>
      <w:textAlignment w:val="auto"/>
      <w:rPr>
        <w:rFonts w:ascii="Arial" w:eastAsia="Calibri" w:hAnsi="Arial" w:cs="Arial"/>
        <w:kern w:val="0"/>
        <w:sz w:val="18"/>
        <w:szCs w:val="20"/>
        <w:lang w:eastAsia="pl-PL" w:bidi="ar-SA"/>
      </w:rPr>
    </w:pPr>
    <w:r>
      <w:rPr>
        <w:rFonts w:ascii="Times New Roman" w:eastAsia="Times New Roman" w:hAnsi="Times New Roman" w:cs="Times New Roman"/>
        <w:sz w:val="22"/>
        <w:szCs w:val="22"/>
        <w:lang w:eastAsia="ar-SA" w:bidi="ar-SA"/>
      </w:rPr>
      <w:t>nr zamówienia ZPIF.271.1.19.2023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idowControl w:val="0"/>
      <w:jc w:val="center"/>
      <w:rPr>
        <w:rFonts w:eastAsia="SimSun" w:cs="Mangal" w:hint="eastAsia"/>
        <w:sz w:val="20"/>
        <w:szCs w:val="20"/>
        <w:lang w:eastAsia="pl-PL"/>
      </w:rPr>
    </w:pPr>
    <w:r>
      <w:rPr>
        <w:noProof/>
        <w:lang w:eastAsia="pl-PL" w:bidi="ar-SA"/>
      </w:rPr>
      <w:drawing>
        <wp:inline distT="0" distB="0" distL="0" distR="0">
          <wp:extent cx="443230" cy="498475"/>
          <wp:effectExtent l="0" t="0" r="0" b="0"/>
          <wp:docPr id="1" name="Obraz 473506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7350600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rFonts w:eastAsia="SimSun" w:cs="Mangal"/>
        <w:sz w:val="20"/>
        <w:szCs w:val="20"/>
        <w:lang w:eastAsia="pl-PL"/>
      </w:rPr>
      <w:tab/>
    </w:r>
    <w:r>
      <w:rPr>
        <w:noProof/>
        <w:lang w:eastAsia="pl-PL" w:bidi="ar-SA"/>
      </w:rPr>
      <w:drawing>
        <wp:inline distT="0" distB="0" distL="0" distR="0">
          <wp:extent cx="1635125" cy="572770"/>
          <wp:effectExtent l="0" t="0" r="0" b="0"/>
          <wp:docPr id="2" name="Obraz 198746134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98746134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widowControl w:val="0"/>
      <w:jc w:val="center"/>
      <w:rPr>
        <w:rFonts w:eastAsia="SimSun" w:cs="Mangal"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C5A"/>
    <w:multiLevelType w:val="multilevel"/>
    <w:tmpl w:val="10283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43BC1"/>
    <w:multiLevelType w:val="multilevel"/>
    <w:tmpl w:val="55169A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FC3319"/>
    <w:multiLevelType w:val="multilevel"/>
    <w:tmpl w:val="135E4A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3000E1"/>
    <w:multiLevelType w:val="multilevel"/>
    <w:tmpl w:val="E70A2B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547BE8"/>
    <w:multiLevelType w:val="multilevel"/>
    <w:tmpl w:val="A9303CD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4D135B"/>
    <w:multiLevelType w:val="multilevel"/>
    <w:tmpl w:val="930244E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0F5CA5"/>
    <w:multiLevelType w:val="multilevel"/>
    <w:tmpl w:val="E632B5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 w15:restartNumberingAfterBreak="0">
    <w:nsid w:val="71DE1514"/>
    <w:multiLevelType w:val="multilevel"/>
    <w:tmpl w:val="B94C1B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4C96-4A43-4EE2-A102-F91B8C2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uiPriority w:val="99"/>
    <w:qFormat/>
  </w:style>
  <w:style w:type="character" w:customStyle="1" w:styleId="NagwekZnak">
    <w:name w:val="Nagłówek Znak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CharLFO8LVL3">
    <w:name w:val="WW_CharLFO8LVL3"/>
    <w:qFormat/>
    <w:rPr>
      <w:rFonts w:ascii="Times New Roman" w:eastAsia="Times New Roman" w:hAnsi="Times New Roman"/>
      <w:b w:val="0"/>
      <w:bCs w:val="0"/>
      <w:i w:val="0"/>
      <w:iCs w:val="0"/>
      <w:strike w:val="0"/>
      <w:dstrike w:val="0"/>
      <w:color w:val="000000"/>
      <w:sz w:val="24"/>
      <w:szCs w:val="24"/>
      <w:lang w:eastAsia="en-US"/>
    </w:rPr>
  </w:style>
  <w:style w:type="character" w:customStyle="1" w:styleId="WWCharLFO8LVL2">
    <w:name w:val="WW_CharLFO8LVL2"/>
    <w:qFormat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  <w:lang w:eastAsia="en-US"/>
    </w:rPr>
  </w:style>
  <w:style w:type="character" w:customStyle="1" w:styleId="wysiwygdot--c1">
    <w:name w:val="wysiwyg__dot--c1"/>
    <w:qFormat/>
  </w:style>
  <w:style w:type="character" w:customStyle="1" w:styleId="WW8Num26z3">
    <w:name w:val="WW8Num26z3"/>
    <w:qFormat/>
    <w:rPr>
      <w:rFonts w:ascii="Symbol" w:eastAsia="OpenSymbol" w:hAnsi="Symbol"/>
    </w:rPr>
  </w:style>
  <w:style w:type="character" w:customStyle="1" w:styleId="WW8Num26z1">
    <w:name w:val="WW8Num26z1"/>
    <w:qFormat/>
    <w:rPr>
      <w:rFonts w:ascii="OpenSymbol" w:eastAsia="OpenSymbol" w:hAnsi="OpenSymbol"/>
    </w:rPr>
  </w:style>
  <w:style w:type="character" w:customStyle="1" w:styleId="WW8Num26z0">
    <w:name w:val="WW8Num26z0"/>
    <w:qFormat/>
  </w:style>
  <w:style w:type="character" w:customStyle="1" w:styleId="WW8Num24z3">
    <w:name w:val="WW8Num24z3"/>
    <w:qFormat/>
    <w:rPr>
      <w:rFonts w:ascii="Symbol" w:eastAsia="OpenSymbol" w:hAnsi="Symbol"/>
    </w:rPr>
  </w:style>
  <w:style w:type="character" w:customStyle="1" w:styleId="WW8Num24z1">
    <w:name w:val="WW8Num24z1"/>
    <w:qFormat/>
    <w:rPr>
      <w:rFonts w:ascii="OpenSymbol" w:eastAsia="OpenSymbol" w:hAnsi="OpenSymbol"/>
    </w:rPr>
  </w:style>
  <w:style w:type="character" w:customStyle="1" w:styleId="WW8Num24z0">
    <w:name w:val="WW8Num24z0"/>
    <w:qFormat/>
    <w:rPr>
      <w:rFonts w:ascii="Times New Roman" w:eastAsia="Times New Roman" w:hAnsi="Times New Roman"/>
      <w:color w:val="000000"/>
      <w:sz w:val="24"/>
    </w:rPr>
  </w:style>
  <w:style w:type="character" w:customStyle="1" w:styleId="WW8Num22z1">
    <w:name w:val="WW8Num22z1"/>
    <w:qFormat/>
    <w:rPr>
      <w:rFonts w:ascii="OpenSymbol" w:eastAsia="OpenSymbol" w:hAnsi="OpenSymbol"/>
    </w:rPr>
  </w:style>
  <w:style w:type="character" w:customStyle="1" w:styleId="WW8Num23z3">
    <w:name w:val="WW8Num23z3"/>
    <w:qFormat/>
    <w:rPr>
      <w:rFonts w:ascii="Symbol" w:eastAsia="OpenSymbol" w:hAnsi="Symbol"/>
    </w:rPr>
  </w:style>
  <w:style w:type="character" w:customStyle="1" w:styleId="WW8Num23z1">
    <w:name w:val="WW8Num23z1"/>
    <w:qFormat/>
    <w:rPr>
      <w:rFonts w:ascii="OpenSymbol" w:eastAsia="OpenSymbol" w:hAnsi="OpenSymbol"/>
    </w:rPr>
  </w:style>
  <w:style w:type="character" w:customStyle="1" w:styleId="WW8Num23z0">
    <w:name w:val="WW8Num23z0"/>
    <w:qFormat/>
    <w:rPr>
      <w:rFonts w:ascii="Times New Roman" w:eastAsia="Times New Roman" w:hAnsi="Times New Roman"/>
      <w:color w:val="000000"/>
      <w:sz w:val="24"/>
    </w:rPr>
  </w:style>
  <w:style w:type="character" w:customStyle="1" w:styleId="WW8Num25z3">
    <w:name w:val="WW8Num25z3"/>
    <w:qFormat/>
    <w:rPr>
      <w:rFonts w:ascii="Symbol" w:eastAsia="OpenSymbol" w:hAnsi="Symbol"/>
    </w:rPr>
  </w:style>
  <w:style w:type="character" w:customStyle="1" w:styleId="WW8Num25z1">
    <w:name w:val="WW8Num25z1"/>
    <w:qFormat/>
    <w:rPr>
      <w:rFonts w:ascii="OpenSymbol" w:eastAsia="OpenSymbol" w:hAnsi="OpenSymbol"/>
    </w:rPr>
  </w:style>
  <w:style w:type="character" w:customStyle="1" w:styleId="WW8Num25z0">
    <w:name w:val="WW8Num25z0"/>
    <w:qFormat/>
    <w:rPr>
      <w:rFonts w:ascii="Times New Roman" w:eastAsia="Times New Roman" w:hAnsi="Times New Roman"/>
      <w:color w:val="000000"/>
      <w:sz w:val="24"/>
    </w:rPr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1033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Eryk</dc:creator>
  <dc:description/>
  <cp:lastModifiedBy>Stępień Eryk</cp:lastModifiedBy>
  <cp:revision>10</cp:revision>
  <dcterms:created xsi:type="dcterms:W3CDTF">2023-08-25T09:16:00Z</dcterms:created>
  <dcterms:modified xsi:type="dcterms:W3CDTF">2023-09-06T11:13:00Z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