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F619C"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 w14:paraId="00D05BDE"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 w14:paraId="5460FDFB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B9759CE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 w:cs="Calibri Light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ykonywanie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>robót instalacyjnych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  <w:lang w:val="pl-PL"/>
        </w:rPr>
        <w:t xml:space="preserve"> elektrycznych 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budynkach i lokalach w zarządzie ZGM w Lubawce w 2025 roku”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185CF2B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 w14:paraId="2A5493D9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71CF3B22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B91AFE0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3F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0934611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4DA454E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F674BE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 w14:paraId="18FC59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 w14:paraId="70AFF64E">
      <w:pPr>
        <w:pStyle w:val="10"/>
        <w:widowControl w:val="0"/>
        <w:numPr>
          <w:ilvl w:val="0"/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449E5D3D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A9A90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3C203B77"/>
    <w:rsid w:val="466841E0"/>
    <w:rsid w:val="6391534A"/>
    <w:rsid w:val="68AD47A4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2588</Characters>
  <Lines>21</Lines>
  <Paragraphs>6</Paragraphs>
  <TotalTime>0</TotalTime>
  <ScaleCrop>false</ScaleCrop>
  <LinksUpToDate>false</LinksUpToDate>
  <CharactersWithSpaces>3013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2024-12-24T15:09:08Z</dcterms:modified>
  <dc:title>Z A P Y T A N I E    O F E R T O W E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A50A4173997E4BBBB98DC1EB106B6CD9</vt:lpwstr>
  </property>
</Properties>
</file>