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3C93" w14:textId="77777777" w:rsidR="0081277F" w:rsidRPr="00B33D1B" w:rsidRDefault="0081277F" w:rsidP="0081277F">
      <w:pPr>
        <w:rPr>
          <w:color w:val="FF0000"/>
        </w:rPr>
      </w:pPr>
      <w:bookmarkStart w:id="0" w:name="_Hlk94181395"/>
    </w:p>
    <w:p w14:paraId="269F8A1A" w14:textId="77777777" w:rsidR="0081277F" w:rsidRPr="001E6FB4" w:rsidRDefault="0081277F" w:rsidP="0081277F">
      <w:pPr>
        <w:jc w:val="center"/>
      </w:pPr>
      <w:r w:rsidRPr="001E6FB4">
        <w:t xml:space="preserve">LEKARZ </w:t>
      </w:r>
    </w:p>
    <w:p w14:paraId="5181D1D9" w14:textId="77777777" w:rsidR="0081277F" w:rsidRPr="001E6FB4" w:rsidRDefault="0081277F" w:rsidP="0081277F"/>
    <w:p w14:paraId="7C5C59D4" w14:textId="77777777" w:rsidR="0081277F" w:rsidRPr="001E6FB4" w:rsidRDefault="0081277F" w:rsidP="0081277F">
      <w:pPr>
        <w:jc w:val="center"/>
      </w:pPr>
      <w:r w:rsidRPr="001E6FB4">
        <w:t>Zakres wykonywanych czynności</w:t>
      </w:r>
    </w:p>
    <w:p w14:paraId="7DEF1EB6" w14:textId="77777777" w:rsidR="0081277F" w:rsidRPr="001E6FB4" w:rsidRDefault="0081277F" w:rsidP="0081277F">
      <w:pPr>
        <w:jc w:val="center"/>
      </w:pPr>
    </w:p>
    <w:p w14:paraId="597A2054" w14:textId="77777777" w:rsidR="0081277F" w:rsidRPr="001E6FB4" w:rsidRDefault="0081277F" w:rsidP="0081277F">
      <w:pPr>
        <w:numPr>
          <w:ilvl w:val="0"/>
          <w:numId w:val="1"/>
        </w:numPr>
        <w:tabs>
          <w:tab w:val="clear" w:pos="2880"/>
        </w:tabs>
        <w:spacing w:line="360" w:lineRule="auto"/>
        <w:ind w:left="540" w:hanging="540"/>
        <w:jc w:val="both"/>
      </w:pPr>
      <w:r w:rsidRPr="001E6FB4">
        <w:t xml:space="preserve">Badanie i kwalifikacja lekarska kandydatów na dawców krwi lub dawców krwi i jej składników w warunkach stacjonarnych i </w:t>
      </w:r>
      <w:proofErr w:type="spellStart"/>
      <w:r w:rsidRPr="001E6FB4">
        <w:t>ekipowych</w:t>
      </w:r>
      <w:proofErr w:type="spellEnd"/>
      <w:r w:rsidRPr="001E6FB4">
        <w:t>.</w:t>
      </w:r>
    </w:p>
    <w:p w14:paraId="3D372C3A" w14:textId="77777777" w:rsidR="0081277F" w:rsidRPr="001E6FB4" w:rsidRDefault="0081277F" w:rsidP="0081277F">
      <w:pPr>
        <w:numPr>
          <w:ilvl w:val="0"/>
          <w:numId w:val="1"/>
        </w:numPr>
        <w:tabs>
          <w:tab w:val="clear" w:pos="2880"/>
        </w:tabs>
        <w:spacing w:line="360" w:lineRule="auto"/>
        <w:ind w:left="540" w:hanging="540"/>
        <w:jc w:val="both"/>
      </w:pPr>
      <w:r w:rsidRPr="001E6FB4">
        <w:t>Udzielanie pomocy lekarskiej w przypadku wystąpienia u dawcy powikłań związanych z oddawaniem krwi lub jej składników.</w:t>
      </w:r>
    </w:p>
    <w:p w14:paraId="08A894A0" w14:textId="77777777" w:rsidR="0081277F" w:rsidRPr="001E6FB4" w:rsidRDefault="0081277F" w:rsidP="0081277F">
      <w:pPr>
        <w:numPr>
          <w:ilvl w:val="0"/>
          <w:numId w:val="1"/>
        </w:numPr>
        <w:tabs>
          <w:tab w:val="clear" w:pos="2880"/>
        </w:tabs>
        <w:spacing w:line="360" w:lineRule="auto"/>
        <w:ind w:left="540" w:hanging="540"/>
        <w:jc w:val="both"/>
      </w:pPr>
      <w:r w:rsidRPr="001E6FB4">
        <w:t xml:space="preserve">Obsługa dawców zdyskwalifikowanych na stałe i prowadzenie dokumentacji zgodnie </w:t>
      </w:r>
      <w:r w:rsidRPr="001E6FB4">
        <w:br/>
        <w:t>z obowiązującymi przepisami.</w:t>
      </w:r>
    </w:p>
    <w:p w14:paraId="465A72A6" w14:textId="77777777" w:rsidR="0081277F" w:rsidRPr="001E6FB4" w:rsidRDefault="0081277F" w:rsidP="0081277F">
      <w:pPr>
        <w:numPr>
          <w:ilvl w:val="0"/>
          <w:numId w:val="1"/>
        </w:numPr>
        <w:tabs>
          <w:tab w:val="clear" w:pos="2880"/>
        </w:tabs>
        <w:spacing w:line="360" w:lineRule="auto"/>
        <w:ind w:left="540" w:hanging="540"/>
        <w:jc w:val="both"/>
      </w:pPr>
      <w:r w:rsidRPr="001E6FB4">
        <w:t xml:space="preserve">Właściwy nadzór nad powierzoną dokumentacją i prawidłowe jej wykorzystanie </w:t>
      </w:r>
      <w:r w:rsidRPr="001E6FB4">
        <w:br/>
        <w:t>z zachowaniem zasad określonych dla dokumentacji medycznej.</w:t>
      </w:r>
    </w:p>
    <w:p w14:paraId="16ED30CF" w14:textId="77777777" w:rsidR="0081277F" w:rsidRPr="001E6FB4" w:rsidRDefault="0081277F" w:rsidP="0081277F">
      <w:pPr>
        <w:numPr>
          <w:ilvl w:val="0"/>
          <w:numId w:val="1"/>
        </w:numPr>
        <w:tabs>
          <w:tab w:val="clear" w:pos="2880"/>
        </w:tabs>
        <w:spacing w:line="360" w:lineRule="auto"/>
        <w:ind w:left="540" w:hanging="540"/>
        <w:jc w:val="both"/>
      </w:pPr>
      <w:r w:rsidRPr="001E6FB4">
        <w:t>Udział w procesie kwalifikacji składników krwi do użytku klinicznego obejmujący:</w:t>
      </w:r>
    </w:p>
    <w:p w14:paraId="24763B42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>Kwalifikację lekarską,</w:t>
      </w:r>
    </w:p>
    <w:p w14:paraId="66CC2672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>Weryfikację kwestionariuszy,</w:t>
      </w:r>
    </w:p>
    <w:p w14:paraId="40EBCA97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 xml:space="preserve">Sprawdzenie </w:t>
      </w:r>
      <w:proofErr w:type="spellStart"/>
      <w:r w:rsidRPr="001E6FB4">
        <w:t>samodyskwalifikacji</w:t>
      </w:r>
      <w:proofErr w:type="spellEnd"/>
      <w:r w:rsidRPr="001E6FB4">
        <w:t xml:space="preserve"> dawcy,</w:t>
      </w:r>
    </w:p>
    <w:p w14:paraId="30C7E144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>Podpisywanie wyników badań kwalifikujących krew i jej składniki,</w:t>
      </w:r>
    </w:p>
    <w:p w14:paraId="7F19C272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>Weryfikowanie dokumentacji i wyników badań analitycznych dotyczących kandydatów na dawców krwi lub dawców krwi i jej składników,</w:t>
      </w:r>
    </w:p>
    <w:p w14:paraId="1A4579F7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>Znajomość i właściwa realizacja standardowych procedur operacyjnych (SOP), z którymi został</w:t>
      </w:r>
      <w:r>
        <w:t>a zaznajomiona, i które przyję</w:t>
      </w:r>
      <w:r w:rsidRPr="001E6FB4">
        <w:t>ła do realizacji (po przeszkoleniu),</w:t>
      </w:r>
    </w:p>
    <w:p w14:paraId="7664B798" w14:textId="77777777" w:rsidR="0081277F" w:rsidRPr="001E6FB4" w:rsidRDefault="0081277F" w:rsidP="0081277F">
      <w:pPr>
        <w:numPr>
          <w:ilvl w:val="1"/>
          <w:numId w:val="1"/>
        </w:numPr>
        <w:spacing w:line="360" w:lineRule="auto"/>
        <w:jc w:val="both"/>
      </w:pPr>
      <w:r w:rsidRPr="001E6FB4">
        <w:t>Obsługa systemu komputerowego BANK KRWI w zakresie dotyczącym gabinetu lekarskiego (po przeszkoleniu)</w:t>
      </w:r>
      <w:r>
        <w:t xml:space="preserve"> oraz KRDK.</w:t>
      </w:r>
    </w:p>
    <w:p w14:paraId="10E42B45" w14:textId="77777777" w:rsidR="0081277F" w:rsidRPr="001E6FB4" w:rsidRDefault="0081277F" w:rsidP="0081277F">
      <w:pPr>
        <w:jc w:val="both"/>
      </w:pPr>
    </w:p>
    <w:bookmarkEnd w:id="0"/>
    <w:p w14:paraId="1C5CC305" w14:textId="77777777" w:rsidR="0081277F" w:rsidRDefault="0081277F" w:rsidP="0081277F"/>
    <w:p w14:paraId="6B99243D" w14:textId="77777777" w:rsidR="00D2227D" w:rsidRPr="0081277F" w:rsidRDefault="00D2227D" w:rsidP="0081277F"/>
    <w:sectPr w:rsidR="00D2227D" w:rsidRPr="0081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41C1"/>
    <w:multiLevelType w:val="hybridMultilevel"/>
    <w:tmpl w:val="0F52FEBC"/>
    <w:lvl w:ilvl="0" w:tplc="AB2EB7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7F"/>
    <w:rsid w:val="003E584B"/>
    <w:rsid w:val="006E54AE"/>
    <w:rsid w:val="0081277F"/>
    <w:rsid w:val="00D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1777"/>
  <w15:chartTrackingRefBased/>
  <w15:docId w15:val="{E5694282-75F8-4C51-96A5-B494861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2022-02-11T11:46:00Z</dcterms:created>
  <dcterms:modified xsi:type="dcterms:W3CDTF">2022-02-11T11:47:00Z</dcterms:modified>
</cp:coreProperties>
</file>