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29080">
      <w:pPr>
        <w:pStyle w:val="15"/>
        <w:jc w:val="both"/>
        <w:rPr>
          <w:rFonts w:cs="Calibri"/>
          <w:b/>
          <w:sz w:val="24"/>
          <w:szCs w:val="24"/>
          <w:u w:val="single"/>
        </w:rPr>
      </w:pPr>
      <w:r>
        <w:rPr>
          <w:rFonts w:cs="Calibri"/>
          <w:b/>
          <w:sz w:val="24"/>
          <w:szCs w:val="24"/>
        </w:rPr>
        <w:t>RZP.271.2.2</w:t>
      </w:r>
      <w:r>
        <w:rPr>
          <w:rFonts w:hint="default" w:cs="Calibri"/>
          <w:b/>
          <w:sz w:val="24"/>
          <w:szCs w:val="24"/>
          <w:lang w:val="pl-PL"/>
        </w:rPr>
        <w:t>8</w:t>
      </w:r>
      <w:bookmarkStart w:id="0" w:name="_GoBack"/>
      <w:bookmarkEnd w:id="0"/>
      <w:r>
        <w:rPr>
          <w:rFonts w:cs="Calibri"/>
          <w:b/>
          <w:sz w:val="24"/>
          <w:szCs w:val="24"/>
        </w:rPr>
        <w:t>.2025</w:t>
      </w:r>
    </w:p>
    <w:p w14:paraId="19DE62AF">
      <w:pPr>
        <w:wordWrap w:val="0"/>
        <w:spacing w:line="288" w:lineRule="auto"/>
        <w:jc w:val="right"/>
        <w:rPr>
          <w:rFonts w:cs="Calibri"/>
          <w:sz w:val="24"/>
          <w:szCs w:val="24"/>
        </w:rPr>
      </w:pPr>
      <w:r>
        <w:rPr>
          <w:rFonts w:cs="Calibri"/>
          <w:sz w:val="24"/>
          <w:szCs w:val="24"/>
        </w:rPr>
        <w:t>Załącznik nr 3 do SWZ</w:t>
      </w:r>
    </w:p>
    <w:p w14:paraId="037C816F">
      <w:pPr>
        <w:pStyle w:val="4"/>
        <w:spacing w:after="25"/>
        <w:rPr>
          <w:rFonts w:ascii="Arial" w:hAnsi="Arial" w:cs="Arial"/>
          <w:sz w:val="20"/>
          <w:szCs w:val="20"/>
        </w:rPr>
      </w:pPr>
    </w:p>
    <w:p w14:paraId="1493BC05">
      <w:pPr>
        <w:pStyle w:val="9"/>
        <w:jc w:val="center"/>
        <w:rPr>
          <w:b/>
          <w:bCs/>
        </w:rPr>
      </w:pPr>
      <w:r>
        <w:t>Szczegółowy opis przedmiotu zamówienia</w:t>
      </w:r>
      <w:r>
        <w:br w:type="textWrapping"/>
      </w:r>
      <w:r>
        <w:t>na</w:t>
      </w:r>
      <w:r>
        <w:rPr>
          <w:u w:val="single"/>
        </w:rPr>
        <w:br w:type="textWrapping"/>
      </w:r>
      <w:r>
        <w:rPr>
          <w:b/>
          <w:bCs/>
        </w:rPr>
        <w:t>„Zakup pojazdu zasilanego energią elektryczną na potrzeby kontroli w zakresie przestrzegania przepisów dotyczących ochrony środowiska dla Straży Miejskiej w Wolbromiu”</w:t>
      </w:r>
    </w:p>
    <w:p w14:paraId="07D4FC28">
      <w:pPr>
        <w:pStyle w:val="9"/>
        <w:jc w:val="center"/>
      </w:pPr>
    </w:p>
    <w:p w14:paraId="4A545177">
      <w:pPr>
        <w:pStyle w:val="9"/>
        <w:numPr>
          <w:ilvl w:val="0"/>
          <w:numId w:val="1"/>
        </w:numPr>
      </w:pPr>
      <w:r>
        <w:t xml:space="preserve">Przedmiotem zamówienia jest zakup 1 szt. fabrycznie nowego  samochodu typu SUV Samochód winien spełniać następujące </w:t>
      </w:r>
      <w:r>
        <w:rPr>
          <w:u w:val="single"/>
        </w:rPr>
        <w:t>minimalne</w:t>
      </w:r>
      <w:r>
        <w:t xml:space="preserve"> parametry techniczno-użytkowe: </w:t>
      </w:r>
    </w:p>
    <w:tbl>
      <w:tblPr>
        <w:tblStyle w:val="7"/>
        <w:tblW w:w="0" w:type="auto"/>
        <w:jc w:val="center"/>
        <w:tblLayout w:type="autofit"/>
        <w:tblCellMar>
          <w:top w:w="15" w:type="dxa"/>
          <w:left w:w="15" w:type="dxa"/>
          <w:bottom w:w="15" w:type="dxa"/>
          <w:right w:w="15" w:type="dxa"/>
        </w:tblCellMar>
      </w:tblPr>
      <w:tblGrid>
        <w:gridCol w:w="664"/>
        <w:gridCol w:w="9102"/>
      </w:tblGrid>
      <w:tr w14:paraId="3ACF6227">
        <w:trPr>
          <w:jc w:val="center"/>
        </w:trPr>
        <w:tc>
          <w:tcPr>
            <w:tcW w:w="664" w:type="dxa"/>
            <w:tcBorders>
              <w:top w:val="outset" w:color="auto" w:sz="6" w:space="0"/>
              <w:left w:val="outset" w:color="auto" w:sz="6" w:space="0"/>
              <w:bottom w:val="outset" w:color="auto" w:sz="6" w:space="0"/>
              <w:right w:val="outset" w:color="auto" w:sz="6" w:space="0"/>
            </w:tcBorders>
            <w:shd w:val="clear" w:color="auto" w:fill="E7E6E6" w:themeFill="background2"/>
          </w:tcPr>
          <w:p w14:paraId="1FC62224">
            <w:pPr>
              <w:pStyle w:val="9"/>
            </w:pPr>
            <w:r>
              <w:t>Lp.</w:t>
            </w:r>
          </w:p>
        </w:tc>
        <w:tc>
          <w:tcPr>
            <w:tcW w:w="9102" w:type="dxa"/>
            <w:tcBorders>
              <w:top w:val="outset" w:color="auto" w:sz="6" w:space="0"/>
              <w:left w:val="outset" w:color="auto" w:sz="6" w:space="0"/>
              <w:bottom w:val="outset" w:color="auto" w:sz="6" w:space="0"/>
              <w:right w:val="outset" w:color="auto" w:sz="6" w:space="0"/>
            </w:tcBorders>
            <w:shd w:val="clear" w:color="auto" w:fill="E7E6E6" w:themeFill="background2"/>
          </w:tcPr>
          <w:p w14:paraId="0F1885BD">
            <w:pPr>
              <w:pStyle w:val="9"/>
              <w:rPr>
                <w:bCs/>
              </w:rPr>
            </w:pPr>
            <w:r>
              <w:rPr>
                <w:rFonts w:eastAsia="Calibri"/>
              </w:rPr>
              <w:t xml:space="preserve">OPIS </w:t>
            </w:r>
            <w:r>
              <w:rPr>
                <w:rFonts w:eastAsia="Calibri"/>
                <w:u w:val="single"/>
              </w:rPr>
              <w:t xml:space="preserve">MINIMALNYCH </w:t>
            </w:r>
            <w:r>
              <w:rPr>
                <w:rFonts w:eastAsia="Calibri"/>
              </w:rPr>
              <w:t>WYMAGANYCH PARAMETRÓW PRZEDMIOTU ZAMÓWIENIA</w:t>
            </w:r>
          </w:p>
        </w:tc>
      </w:tr>
      <w:tr w14:paraId="52F85517">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40F53860">
            <w:pPr>
              <w:pStyle w:val="9"/>
            </w:pPr>
            <w:r>
              <w:t>1.</w:t>
            </w:r>
          </w:p>
        </w:tc>
        <w:tc>
          <w:tcPr>
            <w:tcW w:w="9102" w:type="dxa"/>
            <w:tcBorders>
              <w:top w:val="nil"/>
              <w:left w:val="outset" w:color="auto" w:sz="6" w:space="0"/>
              <w:bottom w:val="outset" w:color="auto" w:sz="6" w:space="0"/>
              <w:right w:val="outset" w:color="auto" w:sz="6" w:space="0"/>
            </w:tcBorders>
          </w:tcPr>
          <w:p w14:paraId="1A809C49">
            <w:pPr>
              <w:pStyle w:val="9"/>
            </w:pPr>
            <w:r>
              <w:t>Samochód osobowy przystosowany do Straży Miejskiej.</w:t>
            </w:r>
          </w:p>
        </w:tc>
      </w:tr>
      <w:tr w14:paraId="0FAE1CD7">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1BE53284">
            <w:pPr>
              <w:pStyle w:val="9"/>
            </w:pPr>
            <w:r>
              <w:t>2.</w:t>
            </w:r>
          </w:p>
        </w:tc>
        <w:tc>
          <w:tcPr>
            <w:tcW w:w="9102" w:type="dxa"/>
            <w:tcBorders>
              <w:top w:val="nil"/>
              <w:left w:val="outset" w:color="auto" w:sz="6" w:space="0"/>
              <w:bottom w:val="outset" w:color="auto" w:sz="6" w:space="0"/>
              <w:right w:val="outset" w:color="auto" w:sz="6" w:space="0"/>
            </w:tcBorders>
          </w:tcPr>
          <w:p w14:paraId="42CFBFA7">
            <w:pPr>
              <w:spacing w:line="360" w:lineRule="auto"/>
              <w:jc w:val="both"/>
              <w:rPr>
                <w:rFonts w:ascii="Trebuchet MS" w:hAnsi="Trebuchet MS"/>
              </w:rPr>
            </w:pPr>
            <w:r>
              <w:rPr>
                <w:rFonts w:ascii="Trebuchet MS" w:hAnsi="Trebuchet MS"/>
              </w:rPr>
              <w:t>Samochód fabrycznie nowy, oznakowany, przystosowany do przewozu osób oraz przewozu ładunków.</w:t>
            </w:r>
          </w:p>
          <w:p w14:paraId="36F8515F">
            <w:pPr>
              <w:spacing w:line="360" w:lineRule="auto"/>
              <w:jc w:val="both"/>
              <w:rPr>
                <w:rFonts w:ascii="Trebuchet MS" w:hAnsi="Trebuchet MS"/>
              </w:rPr>
            </w:pPr>
            <w:r>
              <w:rPr>
                <w:rFonts w:ascii="Trebuchet MS" w:hAnsi="Trebuchet MS"/>
              </w:rPr>
              <w:t>Przystosowany do użytkowania na drogach twardych i gruntowych. Pojazd musi spełniać wymagania polskich przepisów o ruchu drogowym z uwzględnieniem wymagań dotyczących pojazdów uprzywilejowanych tj.:</w:t>
            </w:r>
          </w:p>
          <w:p w14:paraId="6F566BF8">
            <w:pPr>
              <w:numPr>
                <w:ilvl w:val="0"/>
                <w:numId w:val="2"/>
              </w:numPr>
              <w:spacing w:line="360" w:lineRule="auto"/>
              <w:jc w:val="both"/>
              <w:rPr>
                <w:rFonts w:ascii="Trebuchet MS" w:hAnsi="Trebuchet MS"/>
              </w:rPr>
            </w:pPr>
            <w:r>
              <w:rPr>
                <w:rFonts w:ascii="Trebuchet MS" w:hAnsi="Trebuchet MS"/>
              </w:rPr>
              <w:t>ustawy z dnia 20 czerwca 1997 r. Prawo o ruchu drogowym (tj. Dz. U. z 2024 r. poz. 1251) wraz z przepisami wykonawczymi do ustawy, w tym</w:t>
            </w:r>
          </w:p>
          <w:p w14:paraId="61790DB7">
            <w:pPr>
              <w:numPr>
                <w:ilvl w:val="0"/>
                <w:numId w:val="2"/>
              </w:numPr>
              <w:spacing w:line="360" w:lineRule="auto"/>
              <w:jc w:val="both"/>
              <w:rPr>
                <w:rFonts w:ascii="Trebuchet MS" w:hAnsi="Trebuchet MS"/>
              </w:rPr>
            </w:pPr>
            <w:r>
              <w:rPr>
                <w:rFonts w:ascii="Trebuchet MS" w:hAnsi="Trebuchet MS"/>
              </w:rPr>
              <w:t>rozporządzenia Ministra Infrastruktury z dnia 31 grudnia 2002 r. w sprawie warunków technicznych pojazdów oraz zakresu ich niezbędnego wyposażenia (Dz.U. 2024 poz. 502).</w:t>
            </w:r>
          </w:p>
          <w:p w14:paraId="7C1012CC">
            <w:pPr>
              <w:pStyle w:val="9"/>
            </w:pPr>
          </w:p>
        </w:tc>
      </w:tr>
      <w:tr w14:paraId="34454E5D">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259519FB">
            <w:pPr>
              <w:pStyle w:val="9"/>
            </w:pPr>
            <w:r>
              <w:t>3.</w:t>
            </w:r>
          </w:p>
        </w:tc>
        <w:tc>
          <w:tcPr>
            <w:tcW w:w="9102" w:type="dxa"/>
            <w:tcBorders>
              <w:top w:val="nil"/>
              <w:left w:val="outset" w:color="auto" w:sz="6" w:space="0"/>
              <w:bottom w:val="outset" w:color="auto" w:sz="6" w:space="0"/>
              <w:right w:val="outset" w:color="auto" w:sz="6" w:space="0"/>
            </w:tcBorders>
          </w:tcPr>
          <w:p w14:paraId="64127CA9">
            <w:pPr>
              <w:pStyle w:val="9"/>
            </w:pPr>
            <w:r>
              <w:t>Rok produkcji 2024, 2025 - fabrycznie nowy</w:t>
            </w:r>
          </w:p>
        </w:tc>
      </w:tr>
      <w:tr w14:paraId="0EC292F5">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61DC1FFF">
            <w:pPr>
              <w:pStyle w:val="9"/>
            </w:pPr>
            <w:r>
              <w:t>4.</w:t>
            </w:r>
          </w:p>
        </w:tc>
        <w:tc>
          <w:tcPr>
            <w:tcW w:w="9102" w:type="dxa"/>
            <w:tcBorders>
              <w:top w:val="nil"/>
              <w:left w:val="outset" w:color="auto" w:sz="6" w:space="0"/>
              <w:bottom w:val="outset" w:color="auto" w:sz="6" w:space="0"/>
              <w:right w:val="outset" w:color="auto" w:sz="6" w:space="0"/>
            </w:tcBorders>
          </w:tcPr>
          <w:p w14:paraId="54C46E26">
            <w:pPr>
              <w:pStyle w:val="9"/>
              <w:rPr>
                <w:vertAlign w:val="superscript"/>
              </w:rPr>
            </w:pPr>
            <w:r>
              <w:t>Napęd- rodzaj silnika: Elektryczny, silnik o mocy nie mniejszej niż 200 KM</w:t>
            </w:r>
            <w:r>
              <w:br w:type="textWrapping"/>
            </w:r>
            <w:r>
              <w:t xml:space="preserve"> z pojemnością baterii brutto nie mniejszą niż 70 kWh z zasięgiem nie mniejszym niż 400 km. </w:t>
            </w:r>
          </w:p>
        </w:tc>
      </w:tr>
      <w:tr w14:paraId="261E0AAA">
        <w:trPr>
          <w:jc w:val="center"/>
        </w:trPr>
        <w:tc>
          <w:tcPr>
            <w:tcW w:w="664" w:type="dxa"/>
            <w:tcBorders>
              <w:top w:val="nil"/>
              <w:left w:val="outset" w:color="auto" w:sz="6" w:space="0"/>
              <w:bottom w:val="outset" w:color="auto" w:sz="6" w:space="0"/>
              <w:right w:val="outset" w:color="auto" w:sz="6" w:space="0"/>
            </w:tcBorders>
          </w:tcPr>
          <w:p w14:paraId="598C6ABD">
            <w:pPr>
              <w:pStyle w:val="9"/>
            </w:pPr>
            <w:r>
              <w:t>5.</w:t>
            </w:r>
          </w:p>
        </w:tc>
        <w:tc>
          <w:tcPr>
            <w:tcW w:w="9102" w:type="dxa"/>
            <w:tcBorders>
              <w:top w:val="nil"/>
              <w:left w:val="outset" w:color="auto" w:sz="6" w:space="0"/>
              <w:bottom w:val="outset" w:color="auto" w:sz="6" w:space="0"/>
              <w:right w:val="outset" w:color="auto" w:sz="6" w:space="0"/>
            </w:tcBorders>
          </w:tcPr>
          <w:p w14:paraId="7AE7B52A">
            <w:pPr>
              <w:pStyle w:val="9"/>
            </w:pPr>
            <w:r>
              <w:t>Skrzynia biegów automatyczna.</w:t>
            </w:r>
          </w:p>
        </w:tc>
      </w:tr>
      <w:tr w14:paraId="7AE08EED">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698BDFB7">
            <w:pPr>
              <w:pStyle w:val="9"/>
            </w:pPr>
            <w:r>
              <w:t>6.</w:t>
            </w:r>
          </w:p>
        </w:tc>
        <w:tc>
          <w:tcPr>
            <w:tcW w:w="9102" w:type="dxa"/>
            <w:tcBorders>
              <w:top w:val="nil"/>
              <w:left w:val="outset" w:color="auto" w:sz="6" w:space="0"/>
              <w:bottom w:val="outset" w:color="auto" w:sz="6" w:space="0"/>
              <w:right w:val="outset" w:color="auto" w:sz="6" w:space="0"/>
            </w:tcBorders>
          </w:tcPr>
          <w:p w14:paraId="36126605">
            <w:pPr>
              <w:pStyle w:val="9"/>
            </w:pPr>
            <w:r>
              <w:t>Rozstaw osi minimum 2700 mm</w:t>
            </w:r>
          </w:p>
        </w:tc>
      </w:tr>
      <w:tr w14:paraId="3BE5DD90">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13D81462">
            <w:pPr>
              <w:pStyle w:val="9"/>
            </w:pPr>
            <w:r>
              <w:t>7.</w:t>
            </w:r>
          </w:p>
        </w:tc>
        <w:tc>
          <w:tcPr>
            <w:tcW w:w="9102" w:type="dxa"/>
            <w:tcBorders>
              <w:top w:val="nil"/>
              <w:left w:val="outset" w:color="auto" w:sz="6" w:space="0"/>
              <w:bottom w:val="outset" w:color="auto" w:sz="6" w:space="0"/>
              <w:right w:val="outset" w:color="auto" w:sz="6" w:space="0"/>
            </w:tcBorders>
          </w:tcPr>
          <w:p w14:paraId="6392B7DC">
            <w:pPr>
              <w:pStyle w:val="9"/>
            </w:pPr>
            <w:r>
              <w:t>Wymiary pojazdu:</w:t>
            </w:r>
          </w:p>
          <w:p w14:paraId="0EA45EF9">
            <w:pPr>
              <w:pStyle w:val="9"/>
              <w:numPr>
                <w:ilvl w:val="0"/>
                <w:numId w:val="3"/>
              </w:numPr>
            </w:pPr>
            <w:r>
              <w:t>długość całkowita, min. 4200 mm,</w:t>
            </w:r>
          </w:p>
          <w:p w14:paraId="52DC2716">
            <w:pPr>
              <w:pStyle w:val="9"/>
              <w:numPr>
                <w:ilvl w:val="0"/>
                <w:numId w:val="3"/>
              </w:numPr>
            </w:pPr>
            <w:r>
              <w:t xml:space="preserve">szerokość całkowita min.1780 mm  </w:t>
            </w:r>
          </w:p>
          <w:p w14:paraId="62D44C69">
            <w:pPr>
              <w:pStyle w:val="9"/>
              <w:numPr>
                <w:ilvl w:val="0"/>
                <w:numId w:val="3"/>
              </w:numPr>
            </w:pPr>
            <w:r>
              <w:t>dopuszczalna masa całkowita samochodu nie może przekroczyć 2500 kg</w:t>
            </w:r>
          </w:p>
          <w:p w14:paraId="058434AF">
            <w:pPr>
              <w:pStyle w:val="9"/>
            </w:pPr>
          </w:p>
        </w:tc>
      </w:tr>
      <w:tr w14:paraId="1D7BCAB8">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7C71BBCB">
            <w:pPr>
              <w:pStyle w:val="9"/>
            </w:pPr>
            <w:r>
              <w:t>8.</w:t>
            </w:r>
          </w:p>
        </w:tc>
        <w:tc>
          <w:tcPr>
            <w:tcW w:w="9102" w:type="dxa"/>
            <w:tcBorders>
              <w:top w:val="nil"/>
              <w:left w:val="outset" w:color="auto" w:sz="6" w:space="0"/>
              <w:bottom w:val="outset" w:color="auto" w:sz="6" w:space="0"/>
              <w:right w:val="outset" w:color="auto" w:sz="6" w:space="0"/>
            </w:tcBorders>
          </w:tcPr>
          <w:p w14:paraId="323E5CD3">
            <w:pPr>
              <w:pStyle w:val="9"/>
            </w:pPr>
            <w:r>
              <w:t xml:space="preserve">Ilość drzwi  – 4 + 1 </w:t>
            </w:r>
          </w:p>
        </w:tc>
      </w:tr>
      <w:tr w14:paraId="01695C50">
        <w:trPr>
          <w:jc w:val="center"/>
        </w:trPr>
        <w:tc>
          <w:tcPr>
            <w:tcW w:w="664" w:type="dxa"/>
            <w:tcBorders>
              <w:top w:val="nil"/>
              <w:left w:val="outset" w:color="auto" w:sz="6" w:space="0"/>
              <w:bottom w:val="outset" w:color="auto" w:sz="6" w:space="0"/>
              <w:right w:val="outset" w:color="auto" w:sz="6" w:space="0"/>
            </w:tcBorders>
          </w:tcPr>
          <w:p w14:paraId="311CB3EF">
            <w:pPr>
              <w:pStyle w:val="9"/>
            </w:pPr>
            <w:r>
              <w:t>9.</w:t>
            </w:r>
          </w:p>
        </w:tc>
        <w:tc>
          <w:tcPr>
            <w:tcW w:w="9102" w:type="dxa"/>
            <w:tcBorders>
              <w:top w:val="nil"/>
              <w:left w:val="outset" w:color="auto" w:sz="6" w:space="0"/>
              <w:bottom w:val="outset" w:color="auto" w:sz="6" w:space="0"/>
              <w:right w:val="outset" w:color="auto" w:sz="6" w:space="0"/>
            </w:tcBorders>
          </w:tcPr>
          <w:p w14:paraId="352FAF6B">
            <w:pPr>
              <w:pStyle w:val="9"/>
            </w:pPr>
            <w:r>
              <w:t>Centralny zamek ze zdalnym sterowaniem, immobiliser w kluczyku.</w:t>
            </w:r>
          </w:p>
        </w:tc>
      </w:tr>
      <w:tr w14:paraId="70268EE1">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420724A1">
            <w:pPr>
              <w:pStyle w:val="9"/>
            </w:pPr>
            <w:r>
              <w:t>10.</w:t>
            </w:r>
          </w:p>
        </w:tc>
        <w:tc>
          <w:tcPr>
            <w:tcW w:w="9102" w:type="dxa"/>
            <w:tcBorders>
              <w:top w:val="nil"/>
              <w:left w:val="outset" w:color="auto" w:sz="6" w:space="0"/>
              <w:bottom w:val="outset" w:color="auto" w:sz="6" w:space="0"/>
              <w:right w:val="outset" w:color="auto" w:sz="6" w:space="0"/>
            </w:tcBorders>
          </w:tcPr>
          <w:p w14:paraId="27151DD7">
            <w:pPr>
              <w:pStyle w:val="9"/>
            </w:pPr>
            <w:r>
              <w:t>Termin dostawy: zgodnie z SWZ.</w:t>
            </w:r>
          </w:p>
        </w:tc>
      </w:tr>
      <w:tr w14:paraId="2A75C18E">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12443C69">
            <w:pPr>
              <w:pStyle w:val="9"/>
            </w:pPr>
            <w:r>
              <w:t>11.</w:t>
            </w:r>
          </w:p>
        </w:tc>
        <w:tc>
          <w:tcPr>
            <w:tcW w:w="9102" w:type="dxa"/>
            <w:tcBorders>
              <w:top w:val="nil"/>
              <w:left w:val="outset" w:color="auto" w:sz="6" w:space="0"/>
              <w:bottom w:val="outset" w:color="auto" w:sz="6" w:space="0"/>
              <w:right w:val="outset" w:color="auto" w:sz="6" w:space="0"/>
            </w:tcBorders>
          </w:tcPr>
          <w:p w14:paraId="5ECE468F">
            <w:pPr>
              <w:pStyle w:val="9"/>
            </w:pPr>
            <w:r>
              <w:t>System podnoszący bezpieczeństwo jazdy : ABS, ASR, ESP</w:t>
            </w:r>
          </w:p>
        </w:tc>
      </w:tr>
      <w:tr w14:paraId="73CAC861">
        <w:trPr>
          <w:jc w:val="center"/>
        </w:trPr>
        <w:tc>
          <w:tcPr>
            <w:tcW w:w="664" w:type="dxa"/>
            <w:tcBorders>
              <w:top w:val="nil"/>
              <w:left w:val="outset" w:color="auto" w:sz="6" w:space="0"/>
              <w:bottom w:val="outset" w:color="auto" w:sz="6" w:space="0"/>
              <w:right w:val="outset" w:color="auto" w:sz="6" w:space="0"/>
            </w:tcBorders>
          </w:tcPr>
          <w:p w14:paraId="028F23C1">
            <w:pPr>
              <w:pStyle w:val="9"/>
            </w:pPr>
            <w:r>
              <w:t>12.</w:t>
            </w:r>
          </w:p>
        </w:tc>
        <w:tc>
          <w:tcPr>
            <w:tcW w:w="9102" w:type="dxa"/>
            <w:tcBorders>
              <w:top w:val="nil"/>
              <w:left w:val="outset" w:color="auto" w:sz="6" w:space="0"/>
              <w:bottom w:val="outset" w:color="auto" w:sz="6" w:space="0"/>
              <w:right w:val="outset" w:color="auto" w:sz="6" w:space="0"/>
            </w:tcBorders>
          </w:tcPr>
          <w:p w14:paraId="485B5B4F">
            <w:pPr>
              <w:pStyle w:val="9"/>
            </w:pPr>
            <w:r>
              <w:t>Poduszki powietrzne dla kierowcy i pasażera.</w:t>
            </w:r>
          </w:p>
        </w:tc>
      </w:tr>
      <w:tr w14:paraId="19259D87">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45762A8C">
            <w:pPr>
              <w:pStyle w:val="9"/>
            </w:pPr>
            <w:r>
              <w:t>13.</w:t>
            </w:r>
          </w:p>
        </w:tc>
        <w:tc>
          <w:tcPr>
            <w:tcW w:w="9102" w:type="dxa"/>
            <w:tcBorders>
              <w:top w:val="nil"/>
              <w:left w:val="outset" w:color="auto" w:sz="6" w:space="0"/>
              <w:bottom w:val="outset" w:color="auto" w:sz="6" w:space="0"/>
              <w:right w:val="outset" w:color="auto" w:sz="6" w:space="0"/>
            </w:tcBorders>
          </w:tcPr>
          <w:p w14:paraId="614B19B2">
            <w:pPr>
              <w:pStyle w:val="9"/>
            </w:pPr>
            <w:r>
              <w:t>Pasy bezpieczeństwa dla</w:t>
            </w:r>
            <w:r>
              <w:rPr>
                <w:rFonts w:hint="default"/>
                <w:lang w:val="pl-PL"/>
              </w:rPr>
              <w:t xml:space="preserve"> pięciu</w:t>
            </w:r>
            <w:r>
              <w:t xml:space="preserve"> osób.</w:t>
            </w:r>
          </w:p>
        </w:tc>
      </w:tr>
      <w:tr w14:paraId="45C58298">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5319120B">
            <w:pPr>
              <w:pStyle w:val="9"/>
            </w:pPr>
            <w:r>
              <w:t>14.</w:t>
            </w:r>
          </w:p>
        </w:tc>
        <w:tc>
          <w:tcPr>
            <w:tcW w:w="9102" w:type="dxa"/>
            <w:tcBorders>
              <w:top w:val="nil"/>
              <w:left w:val="outset" w:color="auto" w:sz="6" w:space="0"/>
              <w:bottom w:val="outset" w:color="auto" w:sz="6" w:space="0"/>
              <w:right w:val="outset" w:color="auto" w:sz="6" w:space="0"/>
            </w:tcBorders>
          </w:tcPr>
          <w:p w14:paraId="03D60D36">
            <w:pPr>
              <w:pStyle w:val="9"/>
            </w:pPr>
            <w:r>
              <w:t>Sygnalizacja napiętych pasów - dźwiękowa.</w:t>
            </w:r>
          </w:p>
        </w:tc>
      </w:tr>
      <w:tr w14:paraId="400D4C04">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452FE0FA">
            <w:pPr>
              <w:pStyle w:val="9"/>
            </w:pPr>
            <w:r>
              <w:t>15.</w:t>
            </w:r>
          </w:p>
        </w:tc>
        <w:tc>
          <w:tcPr>
            <w:tcW w:w="9102" w:type="dxa"/>
            <w:tcBorders>
              <w:top w:val="nil"/>
              <w:left w:val="outset" w:color="auto" w:sz="6" w:space="0"/>
              <w:bottom w:val="outset" w:color="auto" w:sz="6" w:space="0"/>
              <w:right w:val="outset" w:color="auto" w:sz="6" w:space="0"/>
            </w:tcBorders>
          </w:tcPr>
          <w:p w14:paraId="58D6B5E7">
            <w:pPr>
              <w:pStyle w:val="9"/>
            </w:pPr>
            <w:r>
              <w:t>Aktywny tempomat.</w:t>
            </w:r>
          </w:p>
        </w:tc>
      </w:tr>
      <w:tr w14:paraId="1A496B81">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5929FAE9">
            <w:pPr>
              <w:pStyle w:val="9"/>
            </w:pPr>
            <w:r>
              <w:t>16.</w:t>
            </w:r>
          </w:p>
        </w:tc>
        <w:tc>
          <w:tcPr>
            <w:tcW w:w="9102" w:type="dxa"/>
            <w:tcBorders>
              <w:top w:val="nil"/>
              <w:left w:val="outset" w:color="auto" w:sz="6" w:space="0"/>
              <w:bottom w:val="outset" w:color="auto" w:sz="6" w:space="0"/>
              <w:right w:val="outset" w:color="auto" w:sz="6" w:space="0"/>
            </w:tcBorders>
          </w:tcPr>
          <w:p w14:paraId="3A8BA518">
            <w:pPr>
              <w:pStyle w:val="9"/>
            </w:pPr>
            <w:r>
              <w:t>Kierownica regulowana w dwóch płaszczyznach.</w:t>
            </w:r>
          </w:p>
        </w:tc>
      </w:tr>
      <w:tr w14:paraId="4FDA1AE3">
        <w:trPr>
          <w:jc w:val="center"/>
        </w:trPr>
        <w:tc>
          <w:tcPr>
            <w:tcW w:w="664" w:type="dxa"/>
            <w:tcBorders>
              <w:top w:val="nil"/>
              <w:left w:val="outset" w:color="auto" w:sz="6" w:space="0"/>
              <w:bottom w:val="outset" w:color="auto" w:sz="6" w:space="0"/>
              <w:right w:val="outset" w:color="auto" w:sz="6" w:space="0"/>
            </w:tcBorders>
          </w:tcPr>
          <w:p w14:paraId="0DADE8EA">
            <w:pPr>
              <w:pStyle w:val="9"/>
            </w:pPr>
            <w:r>
              <w:t>17.</w:t>
            </w:r>
          </w:p>
        </w:tc>
        <w:tc>
          <w:tcPr>
            <w:tcW w:w="9102" w:type="dxa"/>
            <w:tcBorders>
              <w:top w:val="nil"/>
              <w:left w:val="outset" w:color="auto" w:sz="6" w:space="0"/>
              <w:bottom w:val="outset" w:color="auto" w:sz="6" w:space="0"/>
              <w:right w:val="outset" w:color="auto" w:sz="6" w:space="0"/>
            </w:tcBorders>
          </w:tcPr>
          <w:p w14:paraId="63CD238F">
            <w:pPr>
              <w:pStyle w:val="9"/>
            </w:pPr>
            <w:r>
              <w:t>Klimatyzacja regulowana automatyczne.</w:t>
            </w:r>
          </w:p>
        </w:tc>
      </w:tr>
      <w:tr w14:paraId="01C48196">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7D464C8E">
            <w:pPr>
              <w:pStyle w:val="9"/>
            </w:pPr>
            <w:r>
              <w:t>18.</w:t>
            </w:r>
          </w:p>
        </w:tc>
        <w:tc>
          <w:tcPr>
            <w:tcW w:w="9102" w:type="dxa"/>
            <w:tcBorders>
              <w:top w:val="nil"/>
              <w:left w:val="outset" w:color="auto" w:sz="6" w:space="0"/>
              <w:bottom w:val="outset" w:color="auto" w:sz="6" w:space="0"/>
              <w:right w:val="outset" w:color="auto" w:sz="6" w:space="0"/>
            </w:tcBorders>
          </w:tcPr>
          <w:p w14:paraId="0CF3D87A">
            <w:pPr>
              <w:pStyle w:val="9"/>
            </w:pPr>
            <w:r>
              <w:t>Elektryczne podnoszenie szyb przednich.</w:t>
            </w:r>
          </w:p>
        </w:tc>
      </w:tr>
      <w:tr w14:paraId="39789AE6">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6AAC12FC">
            <w:pPr>
              <w:pStyle w:val="9"/>
            </w:pPr>
            <w:r>
              <w:t>19.</w:t>
            </w:r>
          </w:p>
        </w:tc>
        <w:tc>
          <w:tcPr>
            <w:tcW w:w="9102" w:type="dxa"/>
            <w:tcBorders>
              <w:top w:val="nil"/>
              <w:left w:val="outset" w:color="auto" w:sz="6" w:space="0"/>
              <w:bottom w:val="outset" w:color="auto" w:sz="6" w:space="0"/>
              <w:right w:val="outset" w:color="auto" w:sz="6" w:space="0"/>
            </w:tcBorders>
          </w:tcPr>
          <w:p w14:paraId="66612FEE">
            <w:pPr>
              <w:pStyle w:val="9"/>
            </w:pPr>
            <w:r>
              <w:t>Czujniki parkowania (przód, tył).</w:t>
            </w:r>
          </w:p>
        </w:tc>
      </w:tr>
      <w:tr w14:paraId="1A8261D7">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62DB306F">
            <w:pPr>
              <w:pStyle w:val="9"/>
            </w:pPr>
            <w:r>
              <w:t>20.</w:t>
            </w:r>
          </w:p>
        </w:tc>
        <w:tc>
          <w:tcPr>
            <w:tcW w:w="9102" w:type="dxa"/>
            <w:tcBorders>
              <w:top w:val="nil"/>
              <w:left w:val="outset" w:color="auto" w:sz="6" w:space="0"/>
              <w:bottom w:val="outset" w:color="auto" w:sz="6" w:space="0"/>
              <w:right w:val="outset" w:color="auto" w:sz="6" w:space="0"/>
            </w:tcBorders>
          </w:tcPr>
          <w:p w14:paraId="0DDE0C16">
            <w:pPr>
              <w:pStyle w:val="9"/>
            </w:pPr>
            <w:r>
              <w:t>Lusterka zewnętrzne sterowane i ogrzewane elektrycznie.</w:t>
            </w:r>
          </w:p>
        </w:tc>
      </w:tr>
      <w:tr w14:paraId="4E6D662E">
        <w:trPr>
          <w:jc w:val="center"/>
        </w:trPr>
        <w:tc>
          <w:tcPr>
            <w:tcW w:w="664" w:type="dxa"/>
            <w:tcBorders>
              <w:top w:val="nil"/>
              <w:left w:val="outset" w:color="auto" w:sz="6" w:space="0"/>
              <w:bottom w:val="outset" w:color="auto" w:sz="6" w:space="0"/>
              <w:right w:val="outset" w:color="auto" w:sz="6" w:space="0"/>
            </w:tcBorders>
          </w:tcPr>
          <w:p w14:paraId="16F03147">
            <w:pPr>
              <w:pStyle w:val="9"/>
            </w:pPr>
            <w:r>
              <w:t>21.</w:t>
            </w:r>
          </w:p>
        </w:tc>
        <w:tc>
          <w:tcPr>
            <w:tcW w:w="9102" w:type="dxa"/>
            <w:tcBorders>
              <w:top w:val="nil"/>
              <w:left w:val="outset" w:color="auto" w:sz="6" w:space="0"/>
              <w:bottom w:val="outset" w:color="auto" w:sz="6" w:space="0"/>
              <w:right w:val="outset" w:color="auto" w:sz="6" w:space="0"/>
            </w:tcBorders>
          </w:tcPr>
          <w:p w14:paraId="179F1ECD">
            <w:pPr>
              <w:pStyle w:val="9"/>
            </w:pPr>
            <w:r>
              <w:t>Pojazd wyposażony w centralny zamek.</w:t>
            </w:r>
          </w:p>
        </w:tc>
      </w:tr>
      <w:tr w14:paraId="301B4418">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55F5C608">
            <w:pPr>
              <w:pStyle w:val="9"/>
            </w:pPr>
            <w:r>
              <w:t>22.</w:t>
            </w:r>
          </w:p>
        </w:tc>
        <w:tc>
          <w:tcPr>
            <w:tcW w:w="9102" w:type="dxa"/>
            <w:tcBorders>
              <w:top w:val="nil"/>
              <w:left w:val="outset" w:color="auto" w:sz="6" w:space="0"/>
              <w:bottom w:val="outset" w:color="auto" w:sz="6" w:space="0"/>
              <w:right w:val="outset" w:color="auto" w:sz="6" w:space="0"/>
            </w:tcBorders>
          </w:tcPr>
          <w:p w14:paraId="50BAFA25">
            <w:pPr>
              <w:pStyle w:val="9"/>
              <w:rPr>
                <w:rFonts w:hint="default"/>
                <w:lang w:val="pl-PL"/>
              </w:rPr>
            </w:pPr>
            <w:r>
              <w:rPr>
                <w:rFonts w:hint="default"/>
                <w:lang w:val="pl-PL"/>
              </w:rPr>
              <w:t>Pojazd posiada napęd 4x4</w:t>
            </w:r>
          </w:p>
        </w:tc>
      </w:tr>
      <w:tr w14:paraId="2E3722AE">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211020B7">
            <w:pPr>
              <w:pStyle w:val="9"/>
            </w:pPr>
            <w:r>
              <w:t>23.</w:t>
            </w:r>
          </w:p>
        </w:tc>
        <w:tc>
          <w:tcPr>
            <w:tcW w:w="9102" w:type="dxa"/>
            <w:tcBorders>
              <w:top w:val="nil"/>
              <w:left w:val="outset" w:color="auto" w:sz="6" w:space="0"/>
              <w:bottom w:val="outset" w:color="auto" w:sz="6" w:space="0"/>
              <w:right w:val="outset" w:color="auto" w:sz="6" w:space="0"/>
            </w:tcBorders>
          </w:tcPr>
          <w:p w14:paraId="02C3D7B6">
            <w:pPr>
              <w:pStyle w:val="9"/>
            </w:pPr>
            <w:r>
              <w:t>Światła do jazdy dziennej w technologii LED</w:t>
            </w:r>
          </w:p>
        </w:tc>
      </w:tr>
      <w:tr w14:paraId="4E1CC0FC">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143A4495">
            <w:pPr>
              <w:pStyle w:val="9"/>
            </w:pPr>
            <w:r>
              <w:t>24.</w:t>
            </w:r>
          </w:p>
        </w:tc>
        <w:tc>
          <w:tcPr>
            <w:tcW w:w="9102" w:type="dxa"/>
            <w:tcBorders>
              <w:top w:val="nil"/>
              <w:left w:val="outset" w:color="auto" w:sz="6" w:space="0"/>
              <w:bottom w:val="outset" w:color="auto" w:sz="6" w:space="0"/>
              <w:right w:val="outset" w:color="auto" w:sz="6" w:space="0"/>
            </w:tcBorders>
          </w:tcPr>
          <w:p w14:paraId="1A65CAAB">
            <w:pPr>
              <w:pStyle w:val="9"/>
            </w:pPr>
            <w:r>
              <w:t>Oświetlenie kabiny LED</w:t>
            </w:r>
          </w:p>
        </w:tc>
      </w:tr>
      <w:tr w14:paraId="1906EE69">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40246C99">
            <w:pPr>
              <w:pStyle w:val="9"/>
            </w:pPr>
            <w:r>
              <w:t>25.</w:t>
            </w:r>
          </w:p>
        </w:tc>
        <w:tc>
          <w:tcPr>
            <w:tcW w:w="9102" w:type="dxa"/>
            <w:tcBorders>
              <w:top w:val="nil"/>
              <w:left w:val="outset" w:color="auto" w:sz="6" w:space="0"/>
              <w:bottom w:val="outset" w:color="auto" w:sz="6" w:space="0"/>
              <w:right w:val="outset" w:color="auto" w:sz="6" w:space="0"/>
            </w:tcBorders>
          </w:tcPr>
          <w:p w14:paraId="5066F662">
            <w:pPr>
              <w:pStyle w:val="9"/>
            </w:pPr>
            <w:r>
              <w:t>Wyposażenie w tzw. pakiet obowiązkowy – apteczka, trójkąt ostrzegawczy, gaśnica.</w:t>
            </w:r>
          </w:p>
        </w:tc>
      </w:tr>
      <w:tr w14:paraId="78FC2BA9">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39F4FFB2">
            <w:pPr>
              <w:pStyle w:val="9"/>
            </w:pPr>
            <w:r>
              <w:t>26.</w:t>
            </w:r>
          </w:p>
        </w:tc>
        <w:tc>
          <w:tcPr>
            <w:tcW w:w="9102" w:type="dxa"/>
            <w:tcBorders>
              <w:top w:val="nil"/>
              <w:left w:val="outset" w:color="auto" w:sz="6" w:space="0"/>
              <w:bottom w:val="outset" w:color="auto" w:sz="6" w:space="0"/>
              <w:right w:val="outset" w:color="auto" w:sz="6" w:space="0"/>
            </w:tcBorders>
          </w:tcPr>
          <w:p w14:paraId="0702296F">
            <w:pPr>
              <w:pStyle w:val="9"/>
            </w:pPr>
            <w:r>
              <w:t>Zasięg min. 400 km</w:t>
            </w:r>
          </w:p>
        </w:tc>
      </w:tr>
      <w:tr w14:paraId="39CA40B9">
        <w:trPr>
          <w:jc w:val="center"/>
        </w:trPr>
        <w:tc>
          <w:tcPr>
            <w:tcW w:w="664" w:type="dxa"/>
            <w:tcBorders>
              <w:top w:val="nil"/>
              <w:left w:val="outset" w:color="auto" w:sz="6" w:space="0"/>
              <w:bottom w:val="outset" w:color="auto" w:sz="6" w:space="0"/>
              <w:right w:val="outset" w:color="auto" w:sz="6" w:space="0"/>
            </w:tcBorders>
          </w:tcPr>
          <w:p w14:paraId="7D23F644">
            <w:pPr>
              <w:pStyle w:val="9"/>
            </w:pPr>
            <w:r>
              <w:t>27.</w:t>
            </w:r>
          </w:p>
        </w:tc>
        <w:tc>
          <w:tcPr>
            <w:tcW w:w="9102" w:type="dxa"/>
            <w:tcBorders>
              <w:top w:val="nil"/>
              <w:left w:val="outset" w:color="auto" w:sz="6" w:space="0"/>
              <w:bottom w:val="outset" w:color="auto" w:sz="6" w:space="0"/>
              <w:right w:val="outset" w:color="auto" w:sz="6" w:space="0"/>
            </w:tcBorders>
          </w:tcPr>
          <w:p w14:paraId="67AB82EA">
            <w:pPr>
              <w:pStyle w:val="9"/>
            </w:pPr>
            <w:r>
              <w:t>Komplet felg aluminiowych min 16” z oponami w zależności od pory roku dostarczenia auta.</w:t>
            </w:r>
          </w:p>
        </w:tc>
      </w:tr>
      <w:tr w14:paraId="39A90745">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1F21BA66">
            <w:pPr>
              <w:pStyle w:val="9"/>
            </w:pPr>
            <w:r>
              <w:t>28.</w:t>
            </w:r>
          </w:p>
        </w:tc>
        <w:tc>
          <w:tcPr>
            <w:tcW w:w="9102" w:type="dxa"/>
            <w:tcBorders>
              <w:top w:val="nil"/>
              <w:left w:val="outset" w:color="auto" w:sz="6" w:space="0"/>
              <w:bottom w:val="outset" w:color="auto" w:sz="6" w:space="0"/>
              <w:right w:val="outset" w:color="auto" w:sz="6" w:space="0"/>
            </w:tcBorders>
          </w:tcPr>
          <w:p w14:paraId="6BF88F94">
            <w:pPr>
              <w:pStyle w:val="9"/>
            </w:pPr>
            <w:r>
              <w:t>Punkt ładowania tzw. „Wallbox” 22kW z montażem na terenie UMiG Wolbrom</w:t>
            </w:r>
          </w:p>
        </w:tc>
      </w:tr>
      <w:tr w14:paraId="79652AE4">
        <w:trPr>
          <w:trHeight w:val="365" w:hRule="atLeast"/>
          <w:jc w:val="center"/>
        </w:trPr>
        <w:tc>
          <w:tcPr>
            <w:tcW w:w="664" w:type="dxa"/>
            <w:tcBorders>
              <w:top w:val="nil"/>
              <w:left w:val="outset" w:color="auto" w:sz="6" w:space="0"/>
              <w:bottom w:val="outset" w:color="auto" w:sz="6" w:space="0"/>
              <w:right w:val="outset" w:color="auto" w:sz="6" w:space="0"/>
            </w:tcBorders>
          </w:tcPr>
          <w:p w14:paraId="2488A820">
            <w:pPr>
              <w:pStyle w:val="9"/>
            </w:pPr>
            <w:r>
              <w:t>29.</w:t>
            </w:r>
          </w:p>
        </w:tc>
        <w:tc>
          <w:tcPr>
            <w:tcW w:w="9102" w:type="dxa"/>
            <w:tcBorders>
              <w:top w:val="nil"/>
              <w:left w:val="outset" w:color="auto" w:sz="6" w:space="0"/>
              <w:bottom w:val="outset" w:color="auto" w:sz="6" w:space="0"/>
              <w:right w:val="outset" w:color="auto" w:sz="6" w:space="0"/>
            </w:tcBorders>
          </w:tcPr>
          <w:p w14:paraId="29A6A719">
            <w:pPr>
              <w:pStyle w:val="9"/>
            </w:pPr>
            <w:r>
              <w:t>Zestaw naprawczy do kół.</w:t>
            </w:r>
          </w:p>
        </w:tc>
      </w:tr>
      <w:tr w14:paraId="102B4B7D">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392B719A">
            <w:pPr>
              <w:pStyle w:val="9"/>
            </w:pPr>
            <w:r>
              <w:t>30.</w:t>
            </w:r>
          </w:p>
        </w:tc>
        <w:tc>
          <w:tcPr>
            <w:tcW w:w="9102" w:type="dxa"/>
            <w:tcBorders>
              <w:top w:val="nil"/>
              <w:left w:val="outset" w:color="auto" w:sz="6" w:space="0"/>
              <w:bottom w:val="outset" w:color="auto" w:sz="6" w:space="0"/>
              <w:right w:val="outset" w:color="auto" w:sz="6" w:space="0"/>
            </w:tcBorders>
          </w:tcPr>
          <w:p w14:paraId="52B1F5B0">
            <w:pPr>
              <w:pStyle w:val="9"/>
            </w:pPr>
            <w:r>
              <w:t>Czujnik ciśnienia w oponach.</w:t>
            </w:r>
          </w:p>
        </w:tc>
      </w:tr>
      <w:tr w14:paraId="126FB6B5">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67FBB91F">
            <w:pPr>
              <w:pStyle w:val="9"/>
            </w:pPr>
            <w:r>
              <w:t>31.</w:t>
            </w:r>
          </w:p>
        </w:tc>
        <w:tc>
          <w:tcPr>
            <w:tcW w:w="9102" w:type="dxa"/>
            <w:tcBorders>
              <w:top w:val="nil"/>
              <w:left w:val="outset" w:color="auto" w:sz="6" w:space="0"/>
              <w:bottom w:val="outset" w:color="auto" w:sz="6" w:space="0"/>
              <w:right w:val="outset" w:color="auto" w:sz="6" w:space="0"/>
            </w:tcBorders>
          </w:tcPr>
          <w:p w14:paraId="3EF9DBBD">
            <w:pPr>
              <w:pStyle w:val="9"/>
            </w:pPr>
            <w:r>
              <w:t>Radio fabryczne lub zalecane przez producenta z głośnikami z przodu i z tyły.</w:t>
            </w:r>
          </w:p>
        </w:tc>
      </w:tr>
      <w:tr w14:paraId="3443D820">
        <w:trPr>
          <w:jc w:val="center"/>
        </w:trPr>
        <w:tc>
          <w:tcPr>
            <w:tcW w:w="664" w:type="dxa"/>
            <w:tcBorders>
              <w:top w:val="nil"/>
              <w:left w:val="outset" w:color="auto" w:sz="6" w:space="0"/>
              <w:bottom w:val="outset" w:color="auto" w:sz="6" w:space="0"/>
              <w:right w:val="outset" w:color="auto" w:sz="6" w:space="0"/>
            </w:tcBorders>
          </w:tcPr>
          <w:p w14:paraId="62C0F772">
            <w:pPr>
              <w:pStyle w:val="9"/>
            </w:pPr>
            <w:r>
              <w:t>32.</w:t>
            </w:r>
          </w:p>
        </w:tc>
        <w:tc>
          <w:tcPr>
            <w:tcW w:w="9102" w:type="dxa"/>
            <w:tcBorders>
              <w:top w:val="nil"/>
              <w:left w:val="outset" w:color="auto" w:sz="6" w:space="0"/>
              <w:bottom w:val="outset" w:color="auto" w:sz="6" w:space="0"/>
              <w:right w:val="outset" w:color="auto" w:sz="6" w:space="0"/>
            </w:tcBorders>
          </w:tcPr>
          <w:p w14:paraId="1FE1CB60">
            <w:pPr>
              <w:spacing w:line="360" w:lineRule="auto"/>
              <w:jc w:val="both"/>
            </w:pPr>
            <w:r>
              <w:rPr>
                <w:rFonts w:ascii="Trebuchet MS" w:hAnsi="Trebuchet MS"/>
                <w:b/>
              </w:rPr>
              <w:t>Barwa i oznakowanie pojazdu:</w:t>
            </w:r>
            <w:r>
              <w:rPr>
                <w:rFonts w:ascii="Trebuchet MS" w:hAnsi="Trebuchet MS"/>
                <w:b/>
              </w:rPr>
              <w:br w:type="textWrapping"/>
            </w:r>
            <w:r>
              <w:rPr>
                <w:rFonts w:ascii="Trebuchet MS" w:hAnsi="Trebuchet MS"/>
                <w:sz w:val="24"/>
                <w:szCs w:val="24"/>
              </w:rPr>
              <w:t>- barwa lakieru oraz oznakowanie – zgodne z § 32b Rozporządzenia Ministra Infrastruktury z dnia 31.12.2002 w sprawie warunków technicznych pojazdów oraz zakresu ich niezbędnego wyposażenia (tekst jednolity: Dz.U.2024 poz. 502).</w:t>
            </w:r>
            <w:r>
              <w:rPr>
                <w:rFonts w:ascii="Trebuchet MS" w:hAnsi="Trebuchet MS"/>
                <w:sz w:val="24"/>
                <w:szCs w:val="24"/>
              </w:rPr>
              <w:br w:type="textWrapping"/>
            </w:r>
            <w:r>
              <w:rPr>
                <w:rFonts w:ascii="Trebuchet MS" w:hAnsi="Trebuchet MS"/>
                <w:sz w:val="24"/>
                <w:szCs w:val="24"/>
              </w:rPr>
              <w:t>- umieszczenie tabliczki dostarczonej przez zamawiającego informującej że samochód pochodzi z dotacji. Dopuszcza się pojazd o innym kolorze nadwozia jednak musi on być pomalowany w ASO do wymaganej rozporządzeniem barwy z zachowaniem wszystkich praw gwarancyjnych.</w:t>
            </w:r>
          </w:p>
        </w:tc>
      </w:tr>
      <w:tr w14:paraId="65644DDC">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29C70A95">
            <w:pPr>
              <w:pStyle w:val="9"/>
            </w:pPr>
            <w:r>
              <w:t>33.</w:t>
            </w:r>
          </w:p>
        </w:tc>
        <w:tc>
          <w:tcPr>
            <w:tcW w:w="9102" w:type="dxa"/>
            <w:tcBorders>
              <w:top w:val="nil"/>
              <w:left w:val="outset" w:color="auto" w:sz="6" w:space="0"/>
              <w:bottom w:val="outset" w:color="auto" w:sz="6" w:space="0"/>
              <w:right w:val="outset" w:color="auto" w:sz="6" w:space="0"/>
            </w:tcBorders>
          </w:tcPr>
          <w:p w14:paraId="53EDD07E">
            <w:pPr>
              <w:pStyle w:val="9"/>
            </w:pPr>
            <w:r>
              <w:t>Komputer pokładowy z menu po polsku.</w:t>
            </w:r>
          </w:p>
        </w:tc>
      </w:tr>
      <w:tr w14:paraId="3D8DC3C0">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540BD3D4">
            <w:pPr>
              <w:pStyle w:val="9"/>
            </w:pPr>
            <w:r>
              <w:t>34.</w:t>
            </w:r>
          </w:p>
        </w:tc>
        <w:tc>
          <w:tcPr>
            <w:tcW w:w="9102" w:type="dxa"/>
            <w:tcBorders>
              <w:top w:val="nil"/>
              <w:left w:val="outset" w:color="auto" w:sz="6" w:space="0"/>
              <w:bottom w:val="outset" w:color="auto" w:sz="6" w:space="0"/>
              <w:right w:val="outset" w:color="auto" w:sz="6" w:space="0"/>
            </w:tcBorders>
          </w:tcPr>
          <w:p w14:paraId="64CA3CDD">
            <w:pPr>
              <w:pStyle w:val="9"/>
            </w:pPr>
            <w:r>
              <w:t>Dywaniki gumowe z przodu.</w:t>
            </w:r>
          </w:p>
        </w:tc>
      </w:tr>
      <w:tr w14:paraId="610D7F36">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029B71F3">
            <w:pPr>
              <w:pStyle w:val="9"/>
            </w:pPr>
            <w:r>
              <w:t>35.</w:t>
            </w:r>
          </w:p>
        </w:tc>
        <w:tc>
          <w:tcPr>
            <w:tcW w:w="9102" w:type="dxa"/>
            <w:tcBorders>
              <w:top w:val="nil"/>
              <w:left w:val="outset" w:color="auto" w:sz="6" w:space="0"/>
              <w:bottom w:val="outset" w:color="auto" w:sz="6" w:space="0"/>
              <w:right w:val="outset" w:color="auto" w:sz="6" w:space="0"/>
            </w:tcBorders>
          </w:tcPr>
          <w:p w14:paraId="206F188C">
            <w:pPr>
              <w:pStyle w:val="9"/>
            </w:pPr>
            <w:r>
              <w:t>Gwarancja: 24 miesiące (lub 100 tyś km) gwarancja mechaniczna i elektryczna (obejmująca również całe wyposażenie);</w:t>
            </w:r>
          </w:p>
        </w:tc>
      </w:tr>
      <w:tr w14:paraId="19AE6B09">
        <w:tblPrEx>
          <w:tblCellMar>
            <w:top w:w="15" w:type="dxa"/>
            <w:left w:w="15" w:type="dxa"/>
            <w:bottom w:w="15" w:type="dxa"/>
            <w:right w:w="15" w:type="dxa"/>
          </w:tblCellMar>
        </w:tblPrEx>
        <w:trPr>
          <w:jc w:val="center"/>
        </w:trPr>
        <w:tc>
          <w:tcPr>
            <w:tcW w:w="664" w:type="dxa"/>
            <w:tcBorders>
              <w:top w:val="nil"/>
              <w:left w:val="outset" w:color="auto" w:sz="6" w:space="0"/>
              <w:bottom w:val="outset" w:color="auto" w:sz="6" w:space="0"/>
              <w:right w:val="outset" w:color="auto" w:sz="6" w:space="0"/>
            </w:tcBorders>
          </w:tcPr>
          <w:p w14:paraId="5DD62EFB">
            <w:pPr>
              <w:pStyle w:val="9"/>
            </w:pPr>
            <w:r>
              <w:t>36.</w:t>
            </w:r>
          </w:p>
        </w:tc>
        <w:tc>
          <w:tcPr>
            <w:tcW w:w="9102" w:type="dxa"/>
            <w:tcBorders>
              <w:top w:val="nil"/>
              <w:left w:val="outset" w:color="auto" w:sz="6" w:space="0"/>
              <w:bottom w:val="outset" w:color="auto" w:sz="6" w:space="0"/>
              <w:right w:val="outset" w:color="auto" w:sz="6" w:space="0"/>
            </w:tcBorders>
          </w:tcPr>
          <w:p w14:paraId="7CD53064">
            <w:pPr>
              <w:pStyle w:val="9"/>
            </w:pPr>
            <w:r>
              <w:t>Okres udzielonej gwarancji na akumulator trakcyjny należy wskazać w wyznaczonym miejscu Formularza oferty.</w:t>
            </w:r>
          </w:p>
        </w:tc>
      </w:tr>
      <w:tr w14:paraId="1BC7C018">
        <w:trPr>
          <w:jc w:val="center"/>
        </w:trPr>
        <w:tc>
          <w:tcPr>
            <w:tcW w:w="664" w:type="dxa"/>
            <w:tcBorders>
              <w:top w:val="nil"/>
              <w:left w:val="outset" w:color="auto" w:sz="6" w:space="0"/>
              <w:bottom w:val="outset" w:color="auto" w:sz="6" w:space="0"/>
              <w:right w:val="outset" w:color="auto" w:sz="6" w:space="0"/>
            </w:tcBorders>
          </w:tcPr>
          <w:p w14:paraId="534CF1BD">
            <w:pPr>
              <w:pStyle w:val="9"/>
            </w:pPr>
            <w:r>
              <w:t>37.</w:t>
            </w:r>
          </w:p>
        </w:tc>
        <w:tc>
          <w:tcPr>
            <w:tcW w:w="9102" w:type="dxa"/>
            <w:tcBorders>
              <w:top w:val="nil"/>
              <w:left w:val="outset" w:color="auto" w:sz="6" w:space="0"/>
              <w:bottom w:val="outset" w:color="auto" w:sz="6" w:space="0"/>
              <w:right w:val="outset" w:color="auto" w:sz="6" w:space="0"/>
            </w:tcBorders>
          </w:tcPr>
          <w:p w14:paraId="49E2C5B6">
            <w:pPr>
              <w:pStyle w:val="9"/>
            </w:pPr>
            <w:r>
              <w:t>Gwarancja na powłokę lakierniczą min 2 lata.</w:t>
            </w:r>
          </w:p>
        </w:tc>
      </w:tr>
      <w:tr w14:paraId="5B1578AE">
        <w:trPr>
          <w:jc w:val="center"/>
        </w:trPr>
        <w:tc>
          <w:tcPr>
            <w:tcW w:w="664" w:type="dxa"/>
            <w:tcBorders>
              <w:top w:val="nil"/>
              <w:left w:val="outset" w:color="auto" w:sz="6" w:space="0"/>
              <w:bottom w:val="outset" w:color="auto" w:sz="6" w:space="0"/>
              <w:right w:val="outset" w:color="auto" w:sz="6" w:space="0"/>
            </w:tcBorders>
          </w:tcPr>
          <w:p w14:paraId="59211E8D">
            <w:pPr>
              <w:pStyle w:val="9"/>
            </w:pPr>
            <w:r>
              <w:t>38.</w:t>
            </w:r>
          </w:p>
        </w:tc>
        <w:tc>
          <w:tcPr>
            <w:tcW w:w="9102" w:type="dxa"/>
            <w:tcBorders>
              <w:top w:val="nil"/>
              <w:left w:val="outset" w:color="auto" w:sz="6" w:space="0"/>
              <w:bottom w:val="outset" w:color="auto" w:sz="6" w:space="0"/>
              <w:right w:val="outset" w:color="auto" w:sz="6" w:space="0"/>
            </w:tcBorders>
          </w:tcPr>
          <w:p w14:paraId="669DEC26">
            <w:pPr>
              <w:spacing w:line="360" w:lineRule="auto"/>
              <w:jc w:val="both"/>
              <w:rPr>
                <w:rFonts w:ascii="Trebuchet MS" w:hAnsi="Trebuchet MS"/>
                <w:b/>
              </w:rPr>
            </w:pPr>
            <w:r>
              <w:rPr>
                <w:rFonts w:ascii="Trebuchet MS" w:hAnsi="Trebuchet MS"/>
                <w:b/>
              </w:rPr>
              <w:t>Wyposażenie specjalistyczne:</w:t>
            </w:r>
          </w:p>
          <w:p w14:paraId="53796158">
            <w:pPr>
              <w:autoSpaceDE w:val="0"/>
              <w:adjustRightInd w:val="0"/>
              <w:spacing w:line="360" w:lineRule="auto"/>
              <w:jc w:val="both"/>
              <w:rPr>
                <w:rFonts w:ascii="Trebuchet MS" w:hAnsi="Trebuchet MS" w:cs="CIDFont+F3"/>
              </w:rPr>
            </w:pPr>
            <w:r>
              <w:rPr>
                <w:rFonts w:ascii="Trebuchet MS" w:hAnsi="Trebuchet MS" w:cs="CIDFont+F3"/>
              </w:rPr>
              <w:t>Na dachu pojazdu należy zamontować symetrycznie i prostopadle do podłużnej osi symetrii pojazdu, zespoloną lampę ostrzegawczą. Lampa nie może wystawać poza obrys dachu i musi być zamontowana w sposób jak najmniej ingerujący w strukturę pojazdu oraz umożliwiający mycie pojazdu w myjni automatycznej szczotkowej bez konieczności jej demontażu.</w:t>
            </w:r>
          </w:p>
          <w:p w14:paraId="72984A40">
            <w:pPr>
              <w:autoSpaceDE w:val="0"/>
              <w:adjustRightInd w:val="0"/>
              <w:spacing w:line="360" w:lineRule="auto"/>
              <w:jc w:val="both"/>
              <w:rPr>
                <w:rFonts w:ascii="Trebuchet MS" w:hAnsi="Trebuchet MS" w:cs="CIDFont+F3"/>
              </w:rPr>
            </w:pPr>
            <w:r>
              <w:rPr>
                <w:rFonts w:ascii="Trebuchet MS" w:hAnsi="Trebuchet MS" w:cs="CIDFont+F3"/>
              </w:rPr>
              <w:t>Zespolona lampa ostrzegawcza musi posiadać:</w:t>
            </w:r>
          </w:p>
          <w:p w14:paraId="57657EEC">
            <w:pPr>
              <w:numPr>
                <w:ilvl w:val="0"/>
                <w:numId w:val="4"/>
              </w:numPr>
              <w:autoSpaceDE w:val="0"/>
              <w:adjustRightInd w:val="0"/>
              <w:spacing w:line="360" w:lineRule="auto"/>
              <w:jc w:val="both"/>
              <w:rPr>
                <w:rFonts w:ascii="Trebuchet MS" w:hAnsi="Trebuchet MS" w:cs="CIDFont+F3"/>
              </w:rPr>
            </w:pPr>
            <w:r>
              <w:rPr>
                <w:rFonts w:ascii="Trebuchet MS" w:hAnsi="Trebuchet MS" w:cs="CIDFont+F3"/>
              </w:rPr>
              <w:t>min 2 lampy (moduły świetlne) w technologii LED w kolorze niebieskim umieszczone w dwóch skrajnych częściach lampy zespolonej widocznej z każdej strony pojazdu, świecące naprzemiennie, (spełniające wymagania obowiązujące na terenie RP tj. Regulamin 65 EKG/ONZ dla światła niebieskiego oraz Regulamin 10 EKG/ONZ lub zamiennie Dyrektywę 95/54 EMC dla wszystkich lamp),</w:t>
            </w:r>
          </w:p>
          <w:p w14:paraId="6BC2FF5F">
            <w:pPr>
              <w:numPr>
                <w:ilvl w:val="0"/>
                <w:numId w:val="4"/>
              </w:numPr>
              <w:autoSpaceDE w:val="0"/>
              <w:adjustRightInd w:val="0"/>
              <w:spacing w:line="360" w:lineRule="auto"/>
              <w:jc w:val="both"/>
              <w:rPr>
                <w:rFonts w:ascii="Trebuchet MS" w:hAnsi="Trebuchet MS" w:cs="CIDFont+F3"/>
              </w:rPr>
            </w:pPr>
            <w:r>
              <w:rPr>
                <w:rFonts w:ascii="Trebuchet MS" w:hAnsi="Trebuchet MS" w:cs="CIDFont+F3"/>
              </w:rPr>
              <w:t>podświetlany napis „STRAŻ MIEJSKA” w kolorze granatowym, o tej samej barwie co granatowy pas wyróżniający, wypełniający białe pole pomiędzy lampami ostrzegawczymi, widoczny z przodu i z tyłu pojazdu co najmniej 50 m w warunkach nocnych.</w:t>
            </w:r>
          </w:p>
          <w:p w14:paraId="32CBBEF9">
            <w:pPr>
              <w:numPr>
                <w:ilvl w:val="0"/>
                <w:numId w:val="4"/>
              </w:numPr>
              <w:autoSpaceDE w:val="0"/>
              <w:adjustRightInd w:val="0"/>
              <w:spacing w:line="360" w:lineRule="auto"/>
              <w:jc w:val="both"/>
              <w:rPr>
                <w:rFonts w:ascii="Trebuchet MS" w:hAnsi="Trebuchet MS" w:cs="CIDFont+F3"/>
              </w:rPr>
            </w:pPr>
            <w:r>
              <w:rPr>
                <w:rFonts w:ascii="Trebuchet MS" w:hAnsi="Trebuchet MS" w:cs="CIDFont+F3"/>
              </w:rPr>
              <w:t>w przedniej części pojazdu zamontowane lampy kierunkowe LED (2 szt.) uruchamiane razem z belką świetlną.</w:t>
            </w:r>
          </w:p>
          <w:p w14:paraId="4D6A19D1">
            <w:pPr>
              <w:autoSpaceDE w:val="0"/>
              <w:adjustRightInd w:val="0"/>
              <w:spacing w:line="360" w:lineRule="auto"/>
              <w:jc w:val="both"/>
              <w:rPr>
                <w:rFonts w:ascii="Trebuchet MS" w:hAnsi="Trebuchet MS" w:cs="CIDFont+F3"/>
              </w:rPr>
            </w:pPr>
          </w:p>
          <w:p w14:paraId="7A6D4C13">
            <w:pPr>
              <w:autoSpaceDE w:val="0"/>
              <w:adjustRightInd w:val="0"/>
              <w:spacing w:line="360" w:lineRule="auto"/>
              <w:jc w:val="both"/>
              <w:rPr>
                <w:rFonts w:ascii="Trebuchet MS" w:hAnsi="Trebuchet MS" w:cs="CIDFont+F3"/>
              </w:rPr>
            </w:pPr>
            <w:r>
              <w:rPr>
                <w:rFonts w:ascii="Trebuchet MS" w:hAnsi="Trebuchet MS" w:cs="CIDFont+F3"/>
              </w:rPr>
              <w:t>Kontrola nad działaniem urządzeń sygnalizacji świetlnej i dźwiękowej pojazdu musi odbywać się za pomocą odpowiedniego manipulatora i spełniać następujące warunki:</w:t>
            </w:r>
          </w:p>
          <w:p w14:paraId="4E0C7D59">
            <w:pPr>
              <w:numPr>
                <w:ilvl w:val="0"/>
                <w:numId w:val="5"/>
              </w:numPr>
              <w:autoSpaceDE w:val="0"/>
              <w:adjustRightInd w:val="0"/>
              <w:spacing w:line="360" w:lineRule="auto"/>
              <w:jc w:val="both"/>
              <w:rPr>
                <w:rFonts w:ascii="Trebuchet MS" w:hAnsi="Trebuchet MS" w:cs="CIDFont+F3"/>
              </w:rPr>
            </w:pPr>
            <w:r>
              <w:rPr>
                <w:rFonts w:ascii="Trebuchet MS" w:hAnsi="Trebuchet MS" w:cs="CIDFont+F3"/>
              </w:rPr>
              <w:t>działanie sygnalizacji świetlnej musi być możliwe przy wyjętym kluczyku ze stacyjki pojazdu,</w:t>
            </w:r>
          </w:p>
          <w:p w14:paraId="50319054">
            <w:pPr>
              <w:numPr>
                <w:ilvl w:val="0"/>
                <w:numId w:val="5"/>
              </w:numPr>
              <w:autoSpaceDE w:val="0"/>
              <w:adjustRightInd w:val="0"/>
              <w:spacing w:line="360" w:lineRule="auto"/>
              <w:jc w:val="both"/>
              <w:rPr>
                <w:rFonts w:ascii="Trebuchet MS" w:hAnsi="Trebuchet MS" w:cs="CIDFont+F3"/>
              </w:rPr>
            </w:pPr>
            <w:r>
              <w:rPr>
                <w:rFonts w:ascii="Trebuchet MS" w:hAnsi="Trebuchet MS" w:cs="CIDFont+F3"/>
              </w:rPr>
              <w:t>podświetlenie napisu „STRAŻ MIEJSKA” w lampie ostrzegawczej musi być włączane wraz ze światłami pojazdu,</w:t>
            </w:r>
          </w:p>
          <w:p w14:paraId="187ACDEB">
            <w:pPr>
              <w:numPr>
                <w:ilvl w:val="0"/>
                <w:numId w:val="5"/>
              </w:numPr>
              <w:autoSpaceDE w:val="0"/>
              <w:adjustRightInd w:val="0"/>
              <w:spacing w:line="360" w:lineRule="auto"/>
              <w:jc w:val="both"/>
              <w:rPr>
                <w:rFonts w:ascii="Trebuchet MS" w:hAnsi="Trebuchet MS" w:cs="CIDFont+F3"/>
              </w:rPr>
            </w:pPr>
            <w:r>
              <w:rPr>
                <w:rFonts w:ascii="Trebuchet MS" w:hAnsi="Trebuchet MS" w:cs="CIDFont+F3"/>
              </w:rPr>
              <w:t>włączenie sygnalizacji dźwiękowej musi pociągać za sobą jednocześnie włączenie sygnalizacji świetlnej (nie może być możliwości włączenia samej sygnalizacji dźwiękowej),</w:t>
            </w:r>
          </w:p>
          <w:p w14:paraId="3A3A7D53">
            <w:pPr>
              <w:numPr>
                <w:ilvl w:val="0"/>
                <w:numId w:val="5"/>
              </w:numPr>
              <w:autoSpaceDE w:val="0"/>
              <w:adjustRightInd w:val="0"/>
              <w:spacing w:line="360" w:lineRule="auto"/>
              <w:jc w:val="both"/>
              <w:rPr>
                <w:rFonts w:ascii="Trebuchet MS" w:hAnsi="Trebuchet MS" w:cs="CIDFont+F3"/>
              </w:rPr>
            </w:pPr>
            <w:r>
              <w:rPr>
                <w:rFonts w:ascii="Trebuchet MS" w:hAnsi="Trebuchet MS" w:cs="CIDFont+F3"/>
              </w:rPr>
              <w:t>musi istnieć możliwość włączenia samej sygnalizacji świetlnej (bez sygnalizacji dźwiękowej),</w:t>
            </w:r>
          </w:p>
          <w:p w14:paraId="70E6A188">
            <w:pPr>
              <w:numPr>
                <w:ilvl w:val="0"/>
                <w:numId w:val="5"/>
              </w:numPr>
              <w:autoSpaceDE w:val="0"/>
              <w:adjustRightInd w:val="0"/>
              <w:spacing w:line="360" w:lineRule="auto"/>
              <w:jc w:val="both"/>
              <w:rPr>
                <w:rFonts w:ascii="Trebuchet MS" w:hAnsi="Trebuchet MS" w:cs="CIDFont+F3"/>
              </w:rPr>
            </w:pPr>
            <w:r>
              <w:rPr>
                <w:rFonts w:ascii="Trebuchet MS" w:hAnsi="Trebuchet MS" w:cs="CIDFont+F3"/>
              </w:rPr>
              <w:t>włączenie lamp uprzywilejowania w ruchu drogowym musi być sygnalizowane lampką kontrolną,</w:t>
            </w:r>
          </w:p>
          <w:p w14:paraId="5ACFCA14">
            <w:pPr>
              <w:numPr>
                <w:ilvl w:val="0"/>
                <w:numId w:val="5"/>
              </w:numPr>
              <w:autoSpaceDE w:val="0"/>
              <w:adjustRightInd w:val="0"/>
              <w:spacing w:line="360" w:lineRule="auto"/>
              <w:jc w:val="both"/>
              <w:rPr>
                <w:rFonts w:ascii="Trebuchet MS" w:hAnsi="Trebuchet MS" w:cs="CIDFont+F3"/>
              </w:rPr>
            </w:pPr>
            <w:r>
              <w:rPr>
                <w:rFonts w:ascii="Trebuchet MS" w:hAnsi="Trebuchet MS" w:cs="CIDFont+F3"/>
              </w:rPr>
              <w:t>włączenie urządzenia rozgłoszeniowego musi przerywać emisję dźwiękowych sygnałów ostrzegawczych, natomiast jego wyłączenie powodować dalszą pracę sygnalizacji dźwiękowej, o ile była ona włączona wcześniej,</w:t>
            </w:r>
          </w:p>
          <w:p w14:paraId="70883BDA">
            <w:pPr>
              <w:numPr>
                <w:ilvl w:val="0"/>
                <w:numId w:val="5"/>
              </w:numPr>
              <w:autoSpaceDE w:val="0"/>
              <w:adjustRightInd w:val="0"/>
              <w:spacing w:line="360" w:lineRule="auto"/>
              <w:jc w:val="both"/>
              <w:rPr>
                <w:rFonts w:ascii="Trebuchet MS" w:hAnsi="Trebuchet MS" w:cs="CIDFont+F3"/>
              </w:rPr>
            </w:pPr>
            <w:r>
              <w:rPr>
                <w:rFonts w:ascii="Trebuchet MS" w:hAnsi="Trebuchet MS" w:cs="CIDFont+F3"/>
              </w:rPr>
              <w:t>przy zapalonych światłach dziennych włączenie sygnalizacji dźwiękowej musi pociągać za sobą jednocześnie włączenie świateł mijania, a wyłączenie sygnalizacji dźwiękowej musi powodować powrót do funkcji świecenia świateł dziennych,</w:t>
            </w:r>
          </w:p>
          <w:p w14:paraId="356D0B30">
            <w:pPr>
              <w:numPr>
                <w:ilvl w:val="0"/>
                <w:numId w:val="5"/>
              </w:numPr>
              <w:autoSpaceDE w:val="0"/>
              <w:adjustRightInd w:val="0"/>
              <w:spacing w:line="360" w:lineRule="auto"/>
              <w:jc w:val="both"/>
              <w:rPr>
                <w:rFonts w:ascii="Trebuchet MS" w:hAnsi="Trebuchet MS" w:cs="CIDFont+F3"/>
              </w:rPr>
            </w:pPr>
            <w:r>
              <w:rPr>
                <w:rFonts w:ascii="Trebuchet MS" w:hAnsi="Trebuchet MS" w:cs="CIDFont+F3"/>
              </w:rPr>
              <w:t>manipulator musi być wyposażony w mikrofon umożliwiający, w dowolnej chwili, osobie obsługującej urządzenie podanie komunikatu na zewnątrz pojazdu,</w:t>
            </w:r>
          </w:p>
          <w:p w14:paraId="335306FB">
            <w:pPr>
              <w:numPr>
                <w:ilvl w:val="0"/>
                <w:numId w:val="5"/>
              </w:numPr>
              <w:autoSpaceDE w:val="0"/>
              <w:adjustRightInd w:val="0"/>
              <w:spacing w:line="360" w:lineRule="auto"/>
              <w:jc w:val="both"/>
              <w:rPr>
                <w:rFonts w:ascii="Trebuchet MS" w:hAnsi="Trebuchet MS" w:cs="CIDFont+F3"/>
              </w:rPr>
            </w:pPr>
            <w:r>
              <w:rPr>
                <w:rFonts w:ascii="Trebuchet MS" w:hAnsi="Trebuchet MS" w:cs="CIDFont+F3"/>
              </w:rPr>
              <w:t>manipulator musi posiadać funkcję wytwarzania co najmniej 3 rodzajów dźwięków.</w:t>
            </w:r>
          </w:p>
          <w:p w14:paraId="133F9D29">
            <w:pPr>
              <w:autoSpaceDE w:val="0"/>
              <w:adjustRightInd w:val="0"/>
              <w:spacing w:line="360" w:lineRule="auto"/>
              <w:jc w:val="both"/>
              <w:rPr>
                <w:rFonts w:ascii="Trebuchet MS" w:hAnsi="Trebuchet MS" w:cs="CIDFont+F3"/>
              </w:rPr>
            </w:pPr>
            <w:r>
              <w:rPr>
                <w:rFonts w:ascii="Trebuchet MS" w:hAnsi="Trebuchet MS" w:cs="CIDFont+F3"/>
              </w:rPr>
              <w:t>Urządzenie wysyłające ostrzegawcze sygnały dźwiękowe uprzywilejowania pojazdu w ruchu</w:t>
            </w:r>
          </w:p>
          <w:p w14:paraId="0A7CD66F">
            <w:pPr>
              <w:autoSpaceDE w:val="0"/>
              <w:adjustRightInd w:val="0"/>
              <w:spacing w:line="360" w:lineRule="auto"/>
              <w:jc w:val="both"/>
              <w:rPr>
                <w:rFonts w:ascii="Trebuchet MS" w:hAnsi="Trebuchet MS" w:cs="CIDFont+F3"/>
              </w:rPr>
            </w:pPr>
            <w:r>
              <w:rPr>
                <w:rFonts w:ascii="Trebuchet MS" w:hAnsi="Trebuchet MS" w:cs="CIDFont+F3"/>
              </w:rPr>
              <w:t>drogowym i służące do rozgłaszania komunikatów musi ponadto posiadać:</w:t>
            </w:r>
          </w:p>
          <w:p w14:paraId="723B1E10">
            <w:pPr>
              <w:numPr>
                <w:ilvl w:val="0"/>
                <w:numId w:val="6"/>
              </w:numPr>
              <w:autoSpaceDE w:val="0"/>
              <w:adjustRightInd w:val="0"/>
              <w:spacing w:line="360" w:lineRule="auto"/>
              <w:jc w:val="both"/>
              <w:rPr>
                <w:rFonts w:ascii="Trebuchet MS" w:hAnsi="Trebuchet MS" w:cs="CIDFont+F3"/>
              </w:rPr>
            </w:pPr>
            <w:r>
              <w:rPr>
                <w:rFonts w:ascii="Trebuchet MS" w:hAnsi="Trebuchet MS" w:cs="CIDFont+F3"/>
              </w:rPr>
              <w:t>homologację na kompatybilność elektromagnetyczną,</w:t>
            </w:r>
          </w:p>
          <w:p w14:paraId="3795D7DC">
            <w:pPr>
              <w:pStyle w:val="27"/>
              <w:numPr>
                <w:ilvl w:val="0"/>
                <w:numId w:val="6"/>
              </w:numPr>
              <w:rPr>
                <w:rFonts w:ascii="Trebuchet MS" w:hAnsi="Trebuchet MS" w:cs="CIDFont+F3"/>
              </w:rPr>
            </w:pPr>
            <w:r>
              <w:rPr>
                <w:rFonts w:ascii="Trebuchet MS" w:hAnsi="Trebuchet MS" w:cs="CIDFont+F3"/>
              </w:rPr>
              <w:t>głośnik min 100 W zamontowany z przodu pojazdu w miejscu umożliwiającym bezawaryjne użytkowanie.</w:t>
            </w:r>
          </w:p>
          <w:p w14:paraId="60FD3F6D">
            <w:pPr>
              <w:autoSpaceDE w:val="0"/>
              <w:adjustRightInd w:val="0"/>
              <w:spacing w:line="360" w:lineRule="auto"/>
              <w:ind w:left="360"/>
              <w:jc w:val="both"/>
            </w:pPr>
            <w:r>
              <w:rPr>
                <w:rFonts w:ascii="Trebuchet MS" w:hAnsi="Trebuchet MS" w:cs="CIDFont+F3"/>
              </w:rPr>
              <w:br w:type="textWrapping"/>
            </w:r>
            <w:r>
              <w:rPr>
                <w:rFonts w:ascii="Trebuchet MS" w:hAnsi="Trebuchet MS"/>
                <w:bCs/>
                <w:sz w:val="24"/>
                <w:szCs w:val="24"/>
              </w:rPr>
              <w:t xml:space="preserve">Samochód powinien być wyposażony w instalację oraz antenę VHF umożliwiające montaż radiotelefonu. Montaż podstawy radiotelefonu musi umożliwiać montaż radiotelefonu oraz uwzględniać łatwy dostęp do manipulatora przez kierowcę </w:t>
            </w:r>
          </w:p>
          <w:tbl>
            <w:tblPr>
              <w:tblStyle w:val="7"/>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5B75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062" w:type="dxa"/>
                </w:tcPr>
                <w:p w14:paraId="6E771CED">
                  <w:pPr>
                    <w:spacing w:line="360" w:lineRule="auto"/>
                    <w:jc w:val="both"/>
                    <w:rPr>
                      <w:rFonts w:ascii="Trebuchet MS" w:hAnsi="Trebuchet MS"/>
                      <w:b/>
                    </w:rPr>
                  </w:pPr>
                  <w:r>
                    <w:rPr>
                      <w:rFonts w:ascii="Trebuchet MS" w:hAnsi="Trebuchet MS"/>
                      <w:b/>
                    </w:rPr>
                    <w:t>Wyposażenie specjalistyczne:</w:t>
                  </w:r>
                </w:p>
                <w:p w14:paraId="6A9D9240">
                  <w:pPr>
                    <w:autoSpaceDE w:val="0"/>
                    <w:adjustRightInd w:val="0"/>
                    <w:spacing w:line="360" w:lineRule="auto"/>
                    <w:jc w:val="both"/>
                    <w:rPr>
                      <w:rFonts w:ascii="Trebuchet MS" w:hAnsi="Trebuchet MS" w:cs="CIDFont+F3"/>
                    </w:rPr>
                  </w:pPr>
                  <w:r>
                    <w:rPr>
                      <w:rFonts w:ascii="Trebuchet MS" w:hAnsi="Trebuchet MS" w:cs="CIDFont+F3"/>
                    </w:rPr>
                    <w:t>Na dachu pojazdu należy zamontować symetrycznie i prostopadle do podłużnej osi symetrii pojazdu, zespoloną lampę ostrzegawczą. Lampa nie może wystawać poza obrys dachu i musi być zamontowana w sposób jak najmniej ingerujący w strukturę pojazdu oraz umożliwiający mycie pojazdu w myjni automatycznej szczotkowej bez konieczności jej demontażu.</w:t>
                  </w:r>
                </w:p>
                <w:p w14:paraId="3A009FA8">
                  <w:pPr>
                    <w:autoSpaceDE w:val="0"/>
                    <w:adjustRightInd w:val="0"/>
                    <w:spacing w:line="360" w:lineRule="auto"/>
                    <w:jc w:val="both"/>
                    <w:rPr>
                      <w:rFonts w:ascii="Trebuchet MS" w:hAnsi="Trebuchet MS" w:cs="CIDFont+F3"/>
                    </w:rPr>
                  </w:pPr>
                  <w:r>
                    <w:rPr>
                      <w:rFonts w:ascii="Trebuchet MS" w:hAnsi="Trebuchet MS" w:cs="CIDFont+F3"/>
                    </w:rPr>
                    <w:t>Zespolona lampa ostrzegawcza musi posiadać:</w:t>
                  </w:r>
                </w:p>
                <w:p w14:paraId="44F9B3EB">
                  <w:pPr>
                    <w:numPr>
                      <w:ilvl w:val="0"/>
                      <w:numId w:val="4"/>
                    </w:numPr>
                    <w:autoSpaceDE w:val="0"/>
                    <w:adjustRightInd w:val="0"/>
                    <w:spacing w:line="360" w:lineRule="auto"/>
                    <w:jc w:val="both"/>
                    <w:rPr>
                      <w:rFonts w:ascii="Trebuchet MS" w:hAnsi="Trebuchet MS" w:cs="CIDFont+F3"/>
                    </w:rPr>
                  </w:pPr>
                  <w:r>
                    <w:rPr>
                      <w:rFonts w:ascii="Trebuchet MS" w:hAnsi="Trebuchet MS" w:cs="CIDFont+F3"/>
                    </w:rPr>
                    <w:t>min 2 lampy (moduły świetlne) w technologii LED w kolorze niebieskim umieszczone w dwóch skrajnych częściach lampy zespolonej widocznej z każdej strony pojazdu, świecące naprzemiennie, (spełniające wymagania obowiązujące na terenie RP tj. Regulamin 65 EKG/ONZ dla światła niebieskiego oraz Regulamin 10 EKG/ONZ lub zamiennie Dyrektywę 95/54 EMC dla wszystkich lamp),</w:t>
                  </w:r>
                </w:p>
                <w:p w14:paraId="3A780794">
                  <w:pPr>
                    <w:numPr>
                      <w:ilvl w:val="0"/>
                      <w:numId w:val="4"/>
                    </w:numPr>
                    <w:autoSpaceDE w:val="0"/>
                    <w:adjustRightInd w:val="0"/>
                    <w:spacing w:line="360" w:lineRule="auto"/>
                    <w:jc w:val="both"/>
                    <w:rPr>
                      <w:rFonts w:ascii="Trebuchet MS" w:hAnsi="Trebuchet MS" w:cs="CIDFont+F3"/>
                    </w:rPr>
                  </w:pPr>
                  <w:r>
                    <w:rPr>
                      <w:rFonts w:ascii="Trebuchet MS" w:hAnsi="Trebuchet MS" w:cs="CIDFont+F3"/>
                    </w:rPr>
                    <w:t>podświetlany napis „STRAŻ MIEJSKA” w kolorze granatowym, o tej samej barwie co granatowy pas wyróżniający, wypełniający białe pole pomiędzy lampami ostrzegawczymi, widoczny z przodu i z tyłu pojazdu co najmniej 50 m w warunkach nocnych.</w:t>
                  </w:r>
                </w:p>
                <w:p w14:paraId="29C77E00">
                  <w:pPr>
                    <w:numPr>
                      <w:ilvl w:val="0"/>
                      <w:numId w:val="4"/>
                    </w:numPr>
                    <w:autoSpaceDE w:val="0"/>
                    <w:adjustRightInd w:val="0"/>
                    <w:spacing w:line="360" w:lineRule="auto"/>
                    <w:jc w:val="both"/>
                    <w:rPr>
                      <w:rFonts w:ascii="Trebuchet MS" w:hAnsi="Trebuchet MS" w:cs="CIDFont+F3"/>
                    </w:rPr>
                  </w:pPr>
                  <w:r>
                    <w:rPr>
                      <w:rFonts w:ascii="Trebuchet MS" w:hAnsi="Trebuchet MS" w:cs="CIDFont+F3"/>
                    </w:rPr>
                    <w:t>w przedniej części pojazdu w atrapie silnika zamontowane lampy kierunkowe LED (2 szt.) uruchamiane razem z belką świetlną.</w:t>
                  </w:r>
                </w:p>
                <w:p w14:paraId="6539998B">
                  <w:pPr>
                    <w:autoSpaceDE w:val="0"/>
                    <w:adjustRightInd w:val="0"/>
                    <w:spacing w:line="360" w:lineRule="auto"/>
                    <w:jc w:val="both"/>
                    <w:rPr>
                      <w:rFonts w:ascii="Trebuchet MS" w:hAnsi="Trebuchet MS" w:cs="CIDFont+F3"/>
                    </w:rPr>
                  </w:pPr>
                </w:p>
                <w:p w14:paraId="6DC457A3">
                  <w:pPr>
                    <w:autoSpaceDE w:val="0"/>
                    <w:adjustRightInd w:val="0"/>
                    <w:spacing w:line="360" w:lineRule="auto"/>
                    <w:jc w:val="both"/>
                    <w:rPr>
                      <w:rFonts w:ascii="Trebuchet MS" w:hAnsi="Trebuchet MS" w:cs="CIDFont+F3"/>
                    </w:rPr>
                  </w:pPr>
                  <w:r>
                    <w:rPr>
                      <w:rFonts w:ascii="Trebuchet MS" w:hAnsi="Trebuchet MS" w:cs="CIDFont+F3"/>
                    </w:rPr>
                    <w:t>Kontrola nad działaniem urządzeń sygnalizacji świetlnej i dźwiękowej pojazdu musi odbywać się za pomocą odpowiedniego manipulatora i spełniać następujące warunki:</w:t>
                  </w:r>
                </w:p>
                <w:p w14:paraId="206308DE">
                  <w:pPr>
                    <w:numPr>
                      <w:ilvl w:val="0"/>
                      <w:numId w:val="5"/>
                    </w:numPr>
                    <w:autoSpaceDE w:val="0"/>
                    <w:adjustRightInd w:val="0"/>
                    <w:spacing w:line="360" w:lineRule="auto"/>
                    <w:jc w:val="both"/>
                    <w:rPr>
                      <w:rFonts w:ascii="Trebuchet MS" w:hAnsi="Trebuchet MS" w:cs="CIDFont+F3"/>
                    </w:rPr>
                  </w:pPr>
                  <w:r>
                    <w:rPr>
                      <w:rFonts w:ascii="Trebuchet MS" w:hAnsi="Trebuchet MS" w:cs="CIDFont+F3"/>
                    </w:rPr>
                    <w:t>działanie sygnalizacji świetlnej musi być możliwe przy wyjętym kluczyku ze stacyjki pojazdu,</w:t>
                  </w:r>
                </w:p>
                <w:p w14:paraId="125801D8">
                  <w:pPr>
                    <w:numPr>
                      <w:ilvl w:val="0"/>
                      <w:numId w:val="5"/>
                    </w:numPr>
                    <w:autoSpaceDE w:val="0"/>
                    <w:adjustRightInd w:val="0"/>
                    <w:spacing w:line="360" w:lineRule="auto"/>
                    <w:jc w:val="both"/>
                    <w:rPr>
                      <w:rFonts w:ascii="Trebuchet MS" w:hAnsi="Trebuchet MS" w:cs="CIDFont+F3"/>
                    </w:rPr>
                  </w:pPr>
                  <w:r>
                    <w:rPr>
                      <w:rFonts w:ascii="Trebuchet MS" w:hAnsi="Trebuchet MS" w:cs="CIDFont+F3"/>
                    </w:rPr>
                    <w:t>podświetlenie napisu „STRAŻ MIEJSKA” w lampie ostrzegawczej musi być włączane wraz ze światłami pojazdu,</w:t>
                  </w:r>
                </w:p>
                <w:p w14:paraId="554B8319">
                  <w:pPr>
                    <w:numPr>
                      <w:ilvl w:val="0"/>
                      <w:numId w:val="5"/>
                    </w:numPr>
                    <w:autoSpaceDE w:val="0"/>
                    <w:adjustRightInd w:val="0"/>
                    <w:spacing w:line="360" w:lineRule="auto"/>
                    <w:jc w:val="both"/>
                    <w:rPr>
                      <w:rFonts w:ascii="Trebuchet MS" w:hAnsi="Trebuchet MS" w:cs="CIDFont+F3"/>
                    </w:rPr>
                  </w:pPr>
                  <w:r>
                    <w:rPr>
                      <w:rFonts w:ascii="Trebuchet MS" w:hAnsi="Trebuchet MS" w:cs="CIDFont+F3"/>
                    </w:rPr>
                    <w:t>włączenie sygnalizacji dźwiękowej musi pociągać za sobą jednocześnie włączenie sygnalizacji świetlnej (nie może być możliwości włączenia samej sygnalizacji dźwiękowej),</w:t>
                  </w:r>
                </w:p>
                <w:p w14:paraId="4CF148CC">
                  <w:pPr>
                    <w:numPr>
                      <w:ilvl w:val="0"/>
                      <w:numId w:val="5"/>
                    </w:numPr>
                    <w:autoSpaceDE w:val="0"/>
                    <w:adjustRightInd w:val="0"/>
                    <w:spacing w:line="360" w:lineRule="auto"/>
                    <w:jc w:val="both"/>
                    <w:rPr>
                      <w:rFonts w:ascii="Trebuchet MS" w:hAnsi="Trebuchet MS" w:cs="CIDFont+F3"/>
                    </w:rPr>
                  </w:pPr>
                  <w:r>
                    <w:rPr>
                      <w:rFonts w:ascii="Trebuchet MS" w:hAnsi="Trebuchet MS" w:cs="CIDFont+F3"/>
                    </w:rPr>
                    <w:t>musi istnieć możliwość włączenia samej sygnalizacji świetlnej (bez sygnalizacji dźwiękowej),</w:t>
                  </w:r>
                </w:p>
                <w:p w14:paraId="5F829778">
                  <w:pPr>
                    <w:numPr>
                      <w:ilvl w:val="0"/>
                      <w:numId w:val="5"/>
                    </w:numPr>
                    <w:autoSpaceDE w:val="0"/>
                    <w:adjustRightInd w:val="0"/>
                    <w:spacing w:line="360" w:lineRule="auto"/>
                    <w:jc w:val="both"/>
                    <w:rPr>
                      <w:rFonts w:ascii="Trebuchet MS" w:hAnsi="Trebuchet MS" w:cs="CIDFont+F3"/>
                    </w:rPr>
                  </w:pPr>
                  <w:r>
                    <w:rPr>
                      <w:rFonts w:ascii="Trebuchet MS" w:hAnsi="Trebuchet MS" w:cs="CIDFont+F3"/>
                    </w:rPr>
                    <w:t>włączenie lamp uprzywilejowania w ruchu drogowym musi być sygnalizowane lampką kontrolną,</w:t>
                  </w:r>
                </w:p>
                <w:p w14:paraId="2FF9BCDF">
                  <w:pPr>
                    <w:numPr>
                      <w:ilvl w:val="0"/>
                      <w:numId w:val="5"/>
                    </w:numPr>
                    <w:autoSpaceDE w:val="0"/>
                    <w:adjustRightInd w:val="0"/>
                    <w:spacing w:line="360" w:lineRule="auto"/>
                    <w:jc w:val="both"/>
                    <w:rPr>
                      <w:rFonts w:ascii="Trebuchet MS" w:hAnsi="Trebuchet MS" w:cs="CIDFont+F3"/>
                    </w:rPr>
                  </w:pPr>
                  <w:r>
                    <w:rPr>
                      <w:rFonts w:ascii="Trebuchet MS" w:hAnsi="Trebuchet MS" w:cs="CIDFont+F3"/>
                    </w:rPr>
                    <w:t>włączenie urządzenia rozgłoszeniowego musi przerywać emisję dźwiękowych sygnałów ostrzegawczych, natomiast jego wyłączenie powodować dalszą pracę sygnalizacji dźwiękowej, o ile była ona włączona wcześniej,</w:t>
                  </w:r>
                </w:p>
                <w:p w14:paraId="1ACF8E88">
                  <w:pPr>
                    <w:numPr>
                      <w:ilvl w:val="0"/>
                      <w:numId w:val="5"/>
                    </w:numPr>
                    <w:autoSpaceDE w:val="0"/>
                    <w:adjustRightInd w:val="0"/>
                    <w:spacing w:line="360" w:lineRule="auto"/>
                    <w:jc w:val="both"/>
                    <w:rPr>
                      <w:rFonts w:ascii="Trebuchet MS" w:hAnsi="Trebuchet MS" w:cs="CIDFont+F3"/>
                    </w:rPr>
                  </w:pPr>
                  <w:r>
                    <w:rPr>
                      <w:rFonts w:ascii="Trebuchet MS" w:hAnsi="Trebuchet MS" w:cs="CIDFont+F3"/>
                    </w:rPr>
                    <w:t>przy zapalonych światłach dziennych włączenie sygnalizacji dźwiękowej musi pociągać za sobą jednocześnie włączenie świateł mijania, a wyłączenie sygnalizacji dźwiękowej musi powodować powrót do funkcji świecenia świateł dziennych,</w:t>
                  </w:r>
                </w:p>
                <w:p w14:paraId="279BB0E1">
                  <w:pPr>
                    <w:numPr>
                      <w:ilvl w:val="0"/>
                      <w:numId w:val="5"/>
                    </w:numPr>
                    <w:autoSpaceDE w:val="0"/>
                    <w:adjustRightInd w:val="0"/>
                    <w:spacing w:line="360" w:lineRule="auto"/>
                    <w:jc w:val="both"/>
                    <w:rPr>
                      <w:rFonts w:ascii="Trebuchet MS" w:hAnsi="Trebuchet MS" w:cs="CIDFont+F3"/>
                    </w:rPr>
                  </w:pPr>
                  <w:r>
                    <w:rPr>
                      <w:rFonts w:ascii="Trebuchet MS" w:hAnsi="Trebuchet MS" w:cs="CIDFont+F3"/>
                    </w:rPr>
                    <w:t>manipulator musi być wyposażony w mikrofon umożliwiający, w dowolnej chwili, osobie obsługującej urządzenie podanie komunikatu na zewnątrz pojazdu,</w:t>
                  </w:r>
                </w:p>
                <w:p w14:paraId="1ADD676E">
                  <w:pPr>
                    <w:numPr>
                      <w:ilvl w:val="0"/>
                      <w:numId w:val="5"/>
                    </w:numPr>
                    <w:autoSpaceDE w:val="0"/>
                    <w:adjustRightInd w:val="0"/>
                    <w:spacing w:line="360" w:lineRule="auto"/>
                    <w:jc w:val="both"/>
                    <w:rPr>
                      <w:rFonts w:ascii="Trebuchet MS" w:hAnsi="Trebuchet MS" w:cs="CIDFont+F3"/>
                    </w:rPr>
                  </w:pPr>
                  <w:r>
                    <w:rPr>
                      <w:rFonts w:ascii="Trebuchet MS" w:hAnsi="Trebuchet MS" w:cs="CIDFont+F3"/>
                    </w:rPr>
                    <w:t>manipulator musi posiadać funkcję wytwarzania co najmniej 3 rodzajów dźwięków.</w:t>
                  </w:r>
                </w:p>
                <w:p w14:paraId="3AD5A993">
                  <w:pPr>
                    <w:autoSpaceDE w:val="0"/>
                    <w:adjustRightInd w:val="0"/>
                    <w:spacing w:line="360" w:lineRule="auto"/>
                    <w:jc w:val="both"/>
                    <w:rPr>
                      <w:rFonts w:ascii="Trebuchet MS" w:hAnsi="Trebuchet MS" w:cs="CIDFont+F3"/>
                    </w:rPr>
                  </w:pPr>
                </w:p>
                <w:p w14:paraId="31D7323D">
                  <w:pPr>
                    <w:autoSpaceDE w:val="0"/>
                    <w:adjustRightInd w:val="0"/>
                    <w:spacing w:line="360" w:lineRule="auto"/>
                    <w:jc w:val="both"/>
                    <w:rPr>
                      <w:rFonts w:ascii="Trebuchet MS" w:hAnsi="Trebuchet MS" w:cs="CIDFont+F3"/>
                    </w:rPr>
                  </w:pPr>
                  <w:r>
                    <w:rPr>
                      <w:rFonts w:ascii="Trebuchet MS" w:hAnsi="Trebuchet MS" w:cs="CIDFont+F3"/>
                    </w:rPr>
                    <w:t>Urządzenie wysyłające ostrzegawcze sygnały dźwiękowe uprzywilejowania pojazdu w ruchu</w:t>
                  </w:r>
                </w:p>
                <w:p w14:paraId="27AF0CBA">
                  <w:pPr>
                    <w:autoSpaceDE w:val="0"/>
                    <w:adjustRightInd w:val="0"/>
                    <w:spacing w:line="360" w:lineRule="auto"/>
                    <w:jc w:val="both"/>
                    <w:rPr>
                      <w:rFonts w:ascii="Trebuchet MS" w:hAnsi="Trebuchet MS" w:cs="CIDFont+F3"/>
                    </w:rPr>
                  </w:pPr>
                  <w:r>
                    <w:rPr>
                      <w:rFonts w:ascii="Trebuchet MS" w:hAnsi="Trebuchet MS" w:cs="CIDFont+F3"/>
                    </w:rPr>
                    <w:t>drogowym i służące do rozgłaszania komunikatów musi ponadto posiadać:</w:t>
                  </w:r>
                </w:p>
                <w:p w14:paraId="018808C0">
                  <w:pPr>
                    <w:numPr>
                      <w:ilvl w:val="0"/>
                      <w:numId w:val="6"/>
                    </w:numPr>
                    <w:autoSpaceDE w:val="0"/>
                    <w:adjustRightInd w:val="0"/>
                    <w:spacing w:line="360" w:lineRule="auto"/>
                    <w:jc w:val="both"/>
                    <w:rPr>
                      <w:rFonts w:ascii="Trebuchet MS" w:hAnsi="Trebuchet MS" w:cs="CIDFont+F3"/>
                    </w:rPr>
                  </w:pPr>
                  <w:r>
                    <w:rPr>
                      <w:rFonts w:ascii="Trebuchet MS" w:hAnsi="Trebuchet MS" w:cs="CIDFont+F3"/>
                    </w:rPr>
                    <w:t>homologację na kompatybilność elektromagnetyczną,</w:t>
                  </w:r>
                </w:p>
                <w:p w14:paraId="5AC464AC">
                  <w:pPr>
                    <w:numPr>
                      <w:ilvl w:val="0"/>
                      <w:numId w:val="6"/>
                    </w:numPr>
                    <w:autoSpaceDE w:val="0"/>
                    <w:adjustRightInd w:val="0"/>
                    <w:spacing w:line="360" w:lineRule="auto"/>
                    <w:jc w:val="both"/>
                    <w:rPr>
                      <w:rFonts w:ascii="Trebuchet MS" w:hAnsi="Trebuchet MS" w:cs="CIDFont+F3"/>
                    </w:rPr>
                  </w:pPr>
                  <w:r>
                    <w:rPr>
                      <w:rFonts w:ascii="Trebuchet MS" w:hAnsi="Trebuchet MS" w:cs="CIDFont+F3"/>
                    </w:rPr>
                    <w:t>głośnik min 100 W zamontowany w komorze silnika w miejscu umożliwiającym bezawaryjne użytkowanie.</w:t>
                  </w:r>
                </w:p>
                <w:p w14:paraId="3B56F9CC">
                  <w:pPr>
                    <w:autoSpaceDE w:val="0"/>
                    <w:adjustRightInd w:val="0"/>
                    <w:spacing w:line="360" w:lineRule="auto"/>
                    <w:jc w:val="both"/>
                    <w:rPr>
                      <w:rFonts w:ascii="Trebuchet MS" w:hAnsi="Trebuchet MS" w:cs="CIDFont+F3"/>
                    </w:rPr>
                  </w:pPr>
                </w:p>
                <w:p w14:paraId="12B9C7DA">
                  <w:pPr>
                    <w:pStyle w:val="29"/>
                    <w:autoSpaceDE w:val="0"/>
                    <w:autoSpaceDN w:val="0"/>
                    <w:adjustRightInd w:val="0"/>
                    <w:spacing w:after="0" w:line="360" w:lineRule="auto"/>
                    <w:jc w:val="both"/>
                    <w:rPr>
                      <w:rFonts w:ascii="Trebuchet MS" w:hAnsi="Trebuchet MS"/>
                      <w:bCs/>
                    </w:rPr>
                  </w:pPr>
                  <w:r>
                    <w:rPr>
                      <w:rFonts w:ascii="Trebuchet MS" w:hAnsi="Trebuchet MS"/>
                      <w:bCs/>
                    </w:rPr>
                    <w:t>Samochód powinien być wyposażony w instalację oraz antenę VHF umożliwiające montaż radiotelefonu. Montaż podstawy radiotelefonu musi umożliwiać montaż radiotelefonu oraz uwzględniać łatwy dostęp do manipulatora przez kierowcę oraz pasażera przedniego fotela.</w:t>
                  </w:r>
                </w:p>
                <w:p w14:paraId="1B790522">
                  <w:pPr>
                    <w:pStyle w:val="29"/>
                    <w:autoSpaceDE w:val="0"/>
                    <w:autoSpaceDN w:val="0"/>
                    <w:adjustRightInd w:val="0"/>
                    <w:spacing w:after="0" w:line="360" w:lineRule="auto"/>
                    <w:jc w:val="both"/>
                    <w:rPr>
                      <w:rFonts w:ascii="Trebuchet MS" w:hAnsi="Trebuchet MS"/>
                      <w:bCs/>
                    </w:rPr>
                  </w:pPr>
                  <w:r>
                    <w:rPr>
                      <w:rFonts w:ascii="Trebuchet MS" w:hAnsi="Trebuchet MS"/>
                      <w:bCs/>
                    </w:rPr>
                    <w:t>Montaż podstawy radiotelefonu musi być wykonany w sposób trwały, uniemożliwiający przypadkowe uszkodzenie przez użytkownika. Montaż podstawy radiotelefonu musi być wykonany w miejscu uwzględniającym ograniczenie obrażeń ciała w razie kolizji / wypadku (np. nakładka na deskę rozdzielczą).Montaż anteny dachowej do radiotelefonu z wyprowadzeniem przewodu antenowego w przedziale kabiny kierowcy.</w:t>
                  </w:r>
                </w:p>
                <w:p w14:paraId="0CC6AAFE">
                  <w:pPr>
                    <w:pStyle w:val="29"/>
                    <w:autoSpaceDE w:val="0"/>
                    <w:autoSpaceDN w:val="0"/>
                    <w:adjustRightInd w:val="0"/>
                    <w:spacing w:after="0" w:line="360" w:lineRule="auto"/>
                    <w:jc w:val="both"/>
                    <w:rPr>
                      <w:rFonts w:ascii="Trebuchet MS" w:hAnsi="Trebuchet MS"/>
                      <w:bCs/>
                    </w:rPr>
                  </w:pPr>
                </w:p>
                <w:p w14:paraId="3C9A8A3F">
                  <w:pPr>
                    <w:pStyle w:val="29"/>
                    <w:spacing w:line="360" w:lineRule="auto"/>
                    <w:jc w:val="both"/>
                    <w:rPr>
                      <w:rFonts w:ascii="Trebuchet MS" w:hAnsi="Trebuchet MS" w:cs="CIDFont+F3"/>
                    </w:rPr>
                  </w:pPr>
                  <w:r>
                    <w:rPr>
                      <w:rFonts w:ascii="Trebuchet MS" w:hAnsi="Trebuchet MS" w:cs="CIDFont+F3"/>
                    </w:rPr>
                    <w:t>Instalacja musi być kompletna, nie wymagająca od Zamawiającego pracy i nakładów dostosowawczych, kompatybilna wewnętrznie (poszczególne elementy muszą poprawnie współpracować) i zewnętrznie (musi poprawnie współpracować z urządzeniami i instalacjami znajdującymi się w pojeździe).</w:t>
                  </w:r>
                </w:p>
                <w:p w14:paraId="0FB660AA">
                  <w:pPr>
                    <w:pStyle w:val="29"/>
                    <w:spacing w:line="360" w:lineRule="auto"/>
                    <w:jc w:val="both"/>
                    <w:rPr>
                      <w:rFonts w:ascii="Trebuchet MS" w:hAnsi="Trebuchet MS" w:cs="CIDFont+F3"/>
                    </w:rPr>
                  </w:pPr>
                  <w:r>
                    <w:rPr>
                      <w:rFonts w:ascii="Trebuchet MS" w:hAnsi="Trebuchet MS" w:cs="CIDFont+F3"/>
                    </w:rPr>
                    <w:t>Instalacje kablowe winny być poprowadzone w sposób, który nie spowoduje utraty gwarancji producenta pojazdu.</w:t>
                  </w:r>
                </w:p>
                <w:p w14:paraId="62A72210">
                  <w:pPr>
                    <w:pStyle w:val="29"/>
                    <w:spacing w:line="360" w:lineRule="auto"/>
                    <w:jc w:val="both"/>
                    <w:rPr>
                      <w:rFonts w:ascii="Trebuchet MS" w:hAnsi="Trebuchet MS" w:cs="CIDFont+F3"/>
                    </w:rPr>
                  </w:pPr>
                  <w:r>
                    <w:rPr>
                      <w:rFonts w:ascii="Trebuchet MS" w:hAnsi="Trebuchet MS" w:cs="CIDFont+F3"/>
                    </w:rPr>
                    <w:t>Instalacja musi charakteryzować się łatwym demontażem urządzeń. Zamawiający musi mieć możliwość samodzielnego przeniesienia urządzeń do innego pojazdu bez utraty gwarancji na urządzenie oraz bez dodatkowych opłat. Koszty ewentualnego przemontowania urządzeń ponosi Zamawiający.</w:t>
                  </w:r>
                </w:p>
                <w:p w14:paraId="40D2A484">
                  <w:pPr>
                    <w:pStyle w:val="29"/>
                    <w:autoSpaceDE w:val="0"/>
                    <w:autoSpaceDN w:val="0"/>
                    <w:adjustRightInd w:val="0"/>
                    <w:spacing w:after="0" w:line="360" w:lineRule="auto"/>
                    <w:jc w:val="both"/>
                    <w:rPr>
                      <w:rFonts w:ascii="Trebuchet MS" w:hAnsi="Trebuchet MS" w:cs="CIDFont+F3"/>
                    </w:rPr>
                  </w:pPr>
                </w:p>
                <w:p w14:paraId="77D903D6">
                  <w:pPr>
                    <w:pStyle w:val="29"/>
                    <w:autoSpaceDE w:val="0"/>
                    <w:autoSpaceDN w:val="0"/>
                    <w:adjustRightInd w:val="0"/>
                    <w:spacing w:after="0" w:line="360" w:lineRule="auto"/>
                    <w:jc w:val="both"/>
                    <w:rPr>
                      <w:rFonts w:ascii="Trebuchet MS" w:hAnsi="Trebuchet MS" w:cs="CIDFont+F3"/>
                    </w:rPr>
                  </w:pPr>
                  <w:r>
                    <w:rPr>
                      <w:rFonts w:ascii="Trebuchet MS" w:hAnsi="Trebuchet MS" w:cs="CIDFont+F3"/>
                    </w:rPr>
                    <w:t>Instalacja musi umożliwiać zainstalowanie w różnych markach samochodów i musi być zasilana z instalacji elektrycznej pojazdu 12V prądu stałego (zgodnie z napięciem instalacji pojazdu), minus na masie</w:t>
                  </w:r>
                </w:p>
              </w:tc>
            </w:tr>
          </w:tbl>
          <w:p w14:paraId="079E32F4">
            <w:pPr>
              <w:autoSpaceDE w:val="0"/>
              <w:adjustRightInd w:val="0"/>
              <w:spacing w:line="360" w:lineRule="auto"/>
              <w:jc w:val="both"/>
            </w:pPr>
          </w:p>
        </w:tc>
      </w:tr>
    </w:tbl>
    <w:p w14:paraId="6577E637">
      <w:pPr>
        <w:pStyle w:val="9"/>
        <w:tabs>
          <w:tab w:val="left" w:pos="2010"/>
        </w:tabs>
      </w:pPr>
      <w:r>
        <w:tab/>
      </w:r>
    </w:p>
    <w:p w14:paraId="33B7FDAC">
      <w:pPr>
        <w:pStyle w:val="9"/>
      </w:pPr>
      <w:r>
        <w:t>2.</w:t>
      </w:r>
      <w:r>
        <w:tab/>
      </w:r>
      <w:r>
        <w:t>Tam, gdzie w zapisach Specyfikacji Warunków Zamówienia czy w którymkolwiek z załączników do SWZ został wskazany znak towarowy (marka), producent, dostawca, patent, pochodzenie, źródło lub szczególny proces, który charakteryzuje produkty lub usługi dostarczone przez konkretnego Wykonawcę lub nastąpiło wskazanie norm, europejskich ocen technicznych, wspólnych specyfikacji technicznych lub innych odniesień, o których mowa w art. 101 ust.1 pkt 2 lub ust. 3 ustawy, Zamawiający zgodnie z art. 99 ust. 5 ustawy dopuszcza złożenie oferty równoważnej lub zgodnie z art. 101 ust. 4 ustawy zaoferowanie rozwiązań „równoważnych” w stosunku do wskazanych w dokumentacji przetargowej pod warunkiem, że zapewnią uzyskanie parametrów technicznych nie gorszych od założonych w dokumentacji przetargowej oraz będą zgodne pod względem:</w:t>
      </w:r>
    </w:p>
    <w:p w14:paraId="348B776B">
      <w:pPr>
        <w:pStyle w:val="9"/>
      </w:pPr>
      <w:r>
        <w:t>a)</w:t>
      </w:r>
      <w:r>
        <w:tab/>
      </w:r>
      <w:r>
        <w:t>gabarytów i konstrukcji (wielkość, rodzaj, właściwości fizyczne, liczba elementów składowych, itp.),</w:t>
      </w:r>
    </w:p>
    <w:p w14:paraId="657105BB">
      <w:pPr>
        <w:pStyle w:val="9"/>
      </w:pPr>
      <w:r>
        <w:t>a)</w:t>
      </w:r>
      <w:r>
        <w:tab/>
      </w:r>
      <w:r>
        <w:t>charakteru użytkowego (tożsamość funkcji, itp.),</w:t>
      </w:r>
    </w:p>
    <w:p w14:paraId="3BF5CA2D">
      <w:pPr>
        <w:pStyle w:val="9"/>
      </w:pPr>
      <w:r>
        <w:t>b)</w:t>
      </w:r>
      <w:r>
        <w:tab/>
      </w:r>
      <w:r>
        <w:t>charakterystyki materiałowej (rodzaj i jakość materiałów, itp.),</w:t>
      </w:r>
    </w:p>
    <w:p w14:paraId="5F59E1C2">
      <w:pPr>
        <w:pStyle w:val="9"/>
      </w:pPr>
      <w:r>
        <w:t>c)</w:t>
      </w:r>
      <w:r>
        <w:tab/>
      </w:r>
      <w:r>
        <w:t>parametrów technicznych (wytrzymałość, trwałość, dane techniczne, dane hydrauliczne, charakterystyki liniowe, konstrukcja, itp.),</w:t>
      </w:r>
    </w:p>
    <w:p w14:paraId="1636BF46">
      <w:pPr>
        <w:pStyle w:val="9"/>
      </w:pPr>
      <w:r>
        <w:t>d)</w:t>
      </w:r>
      <w:r>
        <w:tab/>
      </w:r>
      <w:r>
        <w:t>parametrów bezpieczeństwa użytkowania,</w:t>
      </w:r>
    </w:p>
    <w:p w14:paraId="4D549434">
      <w:pPr>
        <w:pStyle w:val="9"/>
      </w:pPr>
      <w:r>
        <w:t>e)</w:t>
      </w:r>
      <w:r>
        <w:tab/>
      </w:r>
      <w:r>
        <w:t>standardów emisyjnych.</w:t>
      </w:r>
    </w:p>
    <w:p w14:paraId="40C67C70">
      <w:pPr>
        <w:pStyle w:val="9"/>
      </w:pPr>
      <w:r>
        <w:tab/>
      </w:r>
      <w:r>
        <w:t xml:space="preserve">Wykonawca na każde żądanie Zamawiającego zobowiązany jest do okazania w stosunku do wskazanych materiałów znaków bezpieczeństwa, deklaracji zgodności lub aprobaty technicznej lub certyfikatu zgodności z Polską Normą przenoszącą normy europejskie lub normą państw członkowskich Europejskiego Obszaru Gospodarczego przenoszącą tę normę lub Polską Normą w przypadku braku Polskiej Normy przenoszącej europejskie. </w:t>
      </w:r>
    </w:p>
    <w:p w14:paraId="1D677CF9">
      <w:pPr>
        <w:pStyle w:val="9"/>
      </w:pPr>
      <w:r>
        <w:t>Ilekroć w dokumentacji przetargowej mowa jest o polskich normach, należy przez to rozumieć polskie normy przenoszące normy europejskie lub normy innych państw członkowskich Europejskiego Obszaru Gospodarczego lub inne normy lub dokumenty, o których mowa w art. 101 ust. 1 pkt 2 ustawy.</w:t>
      </w:r>
    </w:p>
    <w:sectPr>
      <w:footerReference r:id="rId5" w:type="default"/>
      <w:footerReference r:id="rId6" w:type="even"/>
      <w:pgSz w:w="11906" w:h="16838"/>
      <w:pgMar w:top="913" w:right="991" w:bottom="965" w:left="1133" w:header="708" w:footer="714"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rebuchet MS">
    <w:panose1 w:val="020B0603020202020204"/>
    <w:charset w:val="EE"/>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CIDFont+F3">
    <w:altName w:val="Segoe Print"/>
    <w:panose1 w:val="00000000000000000000"/>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E1BF2">
    <w:pPr>
      <w:pStyle w:val="4"/>
      <w:spacing w:after="0"/>
      <w:ind w:right="-1764"/>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CCFE2">
    <w:pPr>
      <w:pStyle w:val="4"/>
      <w:spacing w:after="0"/>
      <w:ind w:right="-1764"/>
      <w:jc w:val="right"/>
    </w:pPr>
    <w:r>
      <w:rPr>
        <w:sz w:val="24"/>
      </w:rPr>
      <w:fldChar w:fldCharType="begin"/>
    </w:r>
    <w:r>
      <w:rPr>
        <w:sz w:val="24"/>
      </w:rPr>
      <w:instrText xml:space="preserve"> PAGE </w:instrText>
    </w:r>
    <w:r>
      <w:rPr>
        <w:sz w:val="24"/>
      </w:rPr>
      <w:fldChar w:fldCharType="separate"/>
    </w:r>
    <w:r>
      <w:rPr>
        <w:sz w:val="24"/>
      </w:rPr>
      <w:t>20</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4" w:lineRule="auto"/>
      </w:pPr>
      <w:r>
        <w:separator/>
      </w:r>
    </w:p>
  </w:footnote>
  <w:footnote w:type="continuationSeparator" w:id="1">
    <w:p>
      <w:pPr>
        <w:spacing w:before="0" w:after="0" w:line="24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A4C8F"/>
    <w:multiLevelType w:val="multilevel"/>
    <w:tmpl w:val="0F3A4C8F"/>
    <w:lvl w:ilvl="0" w:tentative="0">
      <w:start w:val="1"/>
      <w:numFmt w:val="lowerLetter"/>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1B9B4469"/>
    <w:multiLevelType w:val="multilevel"/>
    <w:tmpl w:val="1B9B4469"/>
    <w:lvl w:ilvl="0" w:tentative="0">
      <w:start w:val="1"/>
      <w:numFmt w:val="bullet"/>
      <w:lvlText w:val="-"/>
      <w:lvlJc w:val="left"/>
      <w:pPr>
        <w:ind w:left="720" w:hanging="360"/>
      </w:pPr>
      <w:rPr>
        <w:rFonts w:hint="default" w:ascii="Arial" w:hAnsi="Arial" w:cs="Times New Roman"/>
      </w:rPr>
    </w:lvl>
    <w:lvl w:ilvl="1" w:tentative="0">
      <w:start w:val="1"/>
      <w:numFmt w:val="bullet"/>
      <w:lvlText w:val="o"/>
      <w:lvlJc w:val="left"/>
      <w:pPr>
        <w:ind w:left="1440" w:hanging="360"/>
      </w:pPr>
      <w:rPr>
        <w:rFonts w:hint="default" w:ascii="Courier New" w:hAnsi="Courier New"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Times New Roman"/>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Times New Roman"/>
      </w:rPr>
    </w:lvl>
    <w:lvl w:ilvl="8" w:tentative="0">
      <w:start w:val="1"/>
      <w:numFmt w:val="bullet"/>
      <w:lvlText w:val=""/>
      <w:lvlJc w:val="left"/>
      <w:pPr>
        <w:ind w:left="6480" w:hanging="360"/>
      </w:pPr>
      <w:rPr>
        <w:rFonts w:hint="default" w:ascii="Wingdings" w:hAnsi="Wingdings"/>
      </w:rPr>
    </w:lvl>
  </w:abstractNum>
  <w:abstractNum w:abstractNumId="2">
    <w:nsid w:val="460A3E22"/>
    <w:multiLevelType w:val="multilevel"/>
    <w:tmpl w:val="460A3E2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4656780"/>
    <w:multiLevelType w:val="multilevel"/>
    <w:tmpl w:val="54656780"/>
    <w:lvl w:ilvl="0" w:tentative="0">
      <w:start w:val="1"/>
      <w:numFmt w:val="lowerLetter"/>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
    <w:nsid w:val="624A73E5"/>
    <w:multiLevelType w:val="multilevel"/>
    <w:tmpl w:val="624A73E5"/>
    <w:lvl w:ilvl="0" w:tentative="0">
      <w:start w:val="1"/>
      <w:numFmt w:val="lowerLetter"/>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5">
    <w:nsid w:val="7CE53327"/>
    <w:multiLevelType w:val="multilevel"/>
    <w:tmpl w:val="7CE53327"/>
    <w:lvl w:ilvl="0" w:tentative="0">
      <w:start w:val="1"/>
      <w:numFmt w:val="lowerLetter"/>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E32"/>
    <w:rsid w:val="00073E09"/>
    <w:rsid w:val="00087D2B"/>
    <w:rsid w:val="000A2C9F"/>
    <w:rsid w:val="000D61F4"/>
    <w:rsid w:val="000E2A30"/>
    <w:rsid w:val="00104085"/>
    <w:rsid w:val="001275BC"/>
    <w:rsid w:val="001822B9"/>
    <w:rsid w:val="001C2D4A"/>
    <w:rsid w:val="001E6CEB"/>
    <w:rsid w:val="001F2A63"/>
    <w:rsid w:val="00216D3F"/>
    <w:rsid w:val="00233E32"/>
    <w:rsid w:val="00235C07"/>
    <w:rsid w:val="00243D66"/>
    <w:rsid w:val="002600FD"/>
    <w:rsid w:val="00262125"/>
    <w:rsid w:val="00280C97"/>
    <w:rsid w:val="0028629F"/>
    <w:rsid w:val="002A0132"/>
    <w:rsid w:val="002C44BD"/>
    <w:rsid w:val="002D0972"/>
    <w:rsid w:val="003131D6"/>
    <w:rsid w:val="00324D62"/>
    <w:rsid w:val="003300BB"/>
    <w:rsid w:val="003729D2"/>
    <w:rsid w:val="003D64E6"/>
    <w:rsid w:val="003E3CB6"/>
    <w:rsid w:val="003F4A2A"/>
    <w:rsid w:val="004036C1"/>
    <w:rsid w:val="00416F07"/>
    <w:rsid w:val="0042631C"/>
    <w:rsid w:val="00446006"/>
    <w:rsid w:val="00455D26"/>
    <w:rsid w:val="004759EB"/>
    <w:rsid w:val="004A5236"/>
    <w:rsid w:val="004C1AFC"/>
    <w:rsid w:val="004E564B"/>
    <w:rsid w:val="004F0005"/>
    <w:rsid w:val="005031CE"/>
    <w:rsid w:val="00510A5A"/>
    <w:rsid w:val="00510E50"/>
    <w:rsid w:val="00517E63"/>
    <w:rsid w:val="005341F1"/>
    <w:rsid w:val="00595635"/>
    <w:rsid w:val="005A3810"/>
    <w:rsid w:val="005B1CD6"/>
    <w:rsid w:val="005C01B1"/>
    <w:rsid w:val="005F5B27"/>
    <w:rsid w:val="00625993"/>
    <w:rsid w:val="0063145E"/>
    <w:rsid w:val="006617A0"/>
    <w:rsid w:val="00690D95"/>
    <w:rsid w:val="006B470B"/>
    <w:rsid w:val="007034AC"/>
    <w:rsid w:val="007043BB"/>
    <w:rsid w:val="0071159E"/>
    <w:rsid w:val="00736370"/>
    <w:rsid w:val="00774625"/>
    <w:rsid w:val="007746FD"/>
    <w:rsid w:val="00794903"/>
    <w:rsid w:val="007A7A51"/>
    <w:rsid w:val="007C064D"/>
    <w:rsid w:val="007C0980"/>
    <w:rsid w:val="007C4DB4"/>
    <w:rsid w:val="007D2769"/>
    <w:rsid w:val="007F60F0"/>
    <w:rsid w:val="00800D1F"/>
    <w:rsid w:val="00821B17"/>
    <w:rsid w:val="00830AEE"/>
    <w:rsid w:val="008348BF"/>
    <w:rsid w:val="008652B6"/>
    <w:rsid w:val="00865CBE"/>
    <w:rsid w:val="008A2C94"/>
    <w:rsid w:val="008F69FB"/>
    <w:rsid w:val="00900136"/>
    <w:rsid w:val="009A6F57"/>
    <w:rsid w:val="009A76E4"/>
    <w:rsid w:val="009C53E1"/>
    <w:rsid w:val="009C56B2"/>
    <w:rsid w:val="009E1E40"/>
    <w:rsid w:val="009F4E63"/>
    <w:rsid w:val="00A017AE"/>
    <w:rsid w:val="00A06003"/>
    <w:rsid w:val="00A317AB"/>
    <w:rsid w:val="00A324F4"/>
    <w:rsid w:val="00A56447"/>
    <w:rsid w:val="00A66405"/>
    <w:rsid w:val="00A8621C"/>
    <w:rsid w:val="00A9723C"/>
    <w:rsid w:val="00AC07D5"/>
    <w:rsid w:val="00AD5B9D"/>
    <w:rsid w:val="00AD6A26"/>
    <w:rsid w:val="00AD7A0B"/>
    <w:rsid w:val="00B01C1B"/>
    <w:rsid w:val="00B20BE0"/>
    <w:rsid w:val="00B23CDF"/>
    <w:rsid w:val="00B375FB"/>
    <w:rsid w:val="00B40680"/>
    <w:rsid w:val="00B5703C"/>
    <w:rsid w:val="00B96B92"/>
    <w:rsid w:val="00BE34BD"/>
    <w:rsid w:val="00C15E29"/>
    <w:rsid w:val="00C53989"/>
    <w:rsid w:val="00C91FA7"/>
    <w:rsid w:val="00C9603A"/>
    <w:rsid w:val="00CA6B51"/>
    <w:rsid w:val="00CB2E78"/>
    <w:rsid w:val="00CB322F"/>
    <w:rsid w:val="00CD0888"/>
    <w:rsid w:val="00CD22F1"/>
    <w:rsid w:val="00D1003A"/>
    <w:rsid w:val="00D42183"/>
    <w:rsid w:val="00D46563"/>
    <w:rsid w:val="00D53B68"/>
    <w:rsid w:val="00D5429F"/>
    <w:rsid w:val="00D55CAD"/>
    <w:rsid w:val="00DB0BB2"/>
    <w:rsid w:val="00DD1618"/>
    <w:rsid w:val="00DD7ACE"/>
    <w:rsid w:val="00DF2698"/>
    <w:rsid w:val="00E364B2"/>
    <w:rsid w:val="00E4541B"/>
    <w:rsid w:val="00E47565"/>
    <w:rsid w:val="00E5577E"/>
    <w:rsid w:val="00E67695"/>
    <w:rsid w:val="00EA4031"/>
    <w:rsid w:val="00EB79C9"/>
    <w:rsid w:val="00EC0021"/>
    <w:rsid w:val="00EC6CDE"/>
    <w:rsid w:val="00EE36FE"/>
    <w:rsid w:val="00EE76EF"/>
    <w:rsid w:val="00F31D83"/>
    <w:rsid w:val="00F34671"/>
    <w:rsid w:val="00F42C53"/>
    <w:rsid w:val="00F72173"/>
    <w:rsid w:val="00F87632"/>
    <w:rsid w:val="00FA2675"/>
    <w:rsid w:val="00FB0F10"/>
    <w:rsid w:val="00FB7BB4"/>
    <w:rsid w:val="00FE4925"/>
    <w:rsid w:val="03CD2A24"/>
    <w:rsid w:val="0A1026E6"/>
    <w:rsid w:val="10637A13"/>
    <w:rsid w:val="111123B8"/>
    <w:rsid w:val="1FD00064"/>
    <w:rsid w:val="234A3673"/>
    <w:rsid w:val="247F6D03"/>
    <w:rsid w:val="24DD4FB4"/>
    <w:rsid w:val="2E8D0FB6"/>
    <w:rsid w:val="319855C5"/>
    <w:rsid w:val="377301AD"/>
    <w:rsid w:val="3B0F47C8"/>
    <w:rsid w:val="42CC3B2C"/>
    <w:rsid w:val="4540525A"/>
    <w:rsid w:val="459A42DE"/>
    <w:rsid w:val="47EE46F0"/>
    <w:rsid w:val="4CAF43E0"/>
    <w:rsid w:val="52501699"/>
    <w:rsid w:val="575C3614"/>
    <w:rsid w:val="58E94AAB"/>
    <w:rsid w:val="5CB11738"/>
    <w:rsid w:val="64A70A2F"/>
    <w:rsid w:val="6E4C4F57"/>
    <w:rsid w:val="70633C4B"/>
    <w:rsid w:val="70971084"/>
    <w:rsid w:val="70B333B7"/>
    <w:rsid w:val="755D5D60"/>
    <w:rsid w:val="781905A5"/>
    <w:rsid w:val="7CE9541D"/>
    <w:rsid w:val="7D517F2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autoSpaceDN w:val="0"/>
      <w:spacing w:after="160" w:line="244" w:lineRule="auto"/>
      <w:textAlignment w:val="baseline"/>
    </w:pPr>
    <w:rPr>
      <w:rFonts w:ascii="Calibri" w:hAnsi="Calibri" w:eastAsia="Times New Roman" w:cs="Times New Roman"/>
      <w:kern w:val="3"/>
      <w:sz w:val="22"/>
      <w:szCs w:val="22"/>
      <w:lang w:val="pl-PL" w:eastAsia="pl-PL" w:bidi="ar-SA"/>
    </w:rPr>
  </w:style>
  <w:style w:type="paragraph" w:styleId="2">
    <w:name w:val="heading 1"/>
    <w:basedOn w:val="3"/>
    <w:next w:val="5"/>
    <w:qFormat/>
    <w:uiPriority w:val="0"/>
    <w:pPr>
      <w:keepLines/>
      <w:spacing w:after="0"/>
      <w:ind w:left="1774" w:hanging="10"/>
      <w:outlineLvl w:val="0"/>
    </w:pPr>
    <w:rPr>
      <w:b/>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3">
    <w:name w:val="Heading"/>
    <w:basedOn w:val="4"/>
    <w:next w:val="5"/>
    <w:autoRedefine/>
    <w:qFormat/>
    <w:uiPriority w:val="0"/>
    <w:pPr>
      <w:keepNext/>
      <w:spacing w:before="240" w:after="120"/>
    </w:pPr>
    <w:rPr>
      <w:sz w:val="28"/>
      <w:szCs w:val="28"/>
    </w:rPr>
  </w:style>
  <w:style w:type="paragraph" w:customStyle="1" w:styleId="4">
    <w:name w:val="Standard"/>
    <w:autoRedefine/>
    <w:qFormat/>
    <w:uiPriority w:val="0"/>
    <w:pPr>
      <w:suppressAutoHyphens/>
      <w:autoSpaceDN w:val="0"/>
      <w:spacing w:after="160" w:line="244" w:lineRule="auto"/>
      <w:textAlignment w:val="baseline"/>
    </w:pPr>
    <w:rPr>
      <w:rFonts w:ascii="Calibri" w:hAnsi="Calibri" w:eastAsia="Calibri" w:cs="Calibri"/>
      <w:color w:val="000000"/>
      <w:kern w:val="3"/>
      <w:sz w:val="22"/>
      <w:szCs w:val="22"/>
      <w:lang w:val="pl-PL" w:eastAsia="pl-PL" w:bidi="ar-SA"/>
    </w:rPr>
  </w:style>
  <w:style w:type="paragraph" w:customStyle="1" w:styleId="5">
    <w:name w:val="Text body"/>
    <w:basedOn w:val="4"/>
    <w:autoRedefine/>
    <w:qFormat/>
    <w:uiPriority w:val="0"/>
    <w:pPr>
      <w:spacing w:after="120"/>
    </w:pPr>
  </w:style>
  <w:style w:type="paragraph" w:styleId="8">
    <w:name w:val="Balloon Text"/>
    <w:basedOn w:val="4"/>
    <w:autoRedefine/>
    <w:qFormat/>
    <w:uiPriority w:val="0"/>
    <w:pPr>
      <w:spacing w:after="0" w:line="240" w:lineRule="auto"/>
    </w:pPr>
    <w:rPr>
      <w:sz w:val="18"/>
      <w:szCs w:val="18"/>
    </w:rPr>
  </w:style>
  <w:style w:type="paragraph" w:styleId="9">
    <w:name w:val="Body Text"/>
    <w:basedOn w:val="1"/>
    <w:autoRedefine/>
    <w:qFormat/>
    <w:uiPriority w:val="0"/>
    <w:pPr>
      <w:ind w:left="197"/>
      <w:jc w:val="both"/>
    </w:pPr>
    <w:rPr>
      <w:sz w:val="24"/>
    </w:rPr>
  </w:style>
  <w:style w:type="paragraph" w:styleId="10">
    <w:name w:val="caption"/>
    <w:basedOn w:val="4"/>
    <w:next w:val="1"/>
    <w:autoRedefine/>
    <w:qFormat/>
    <w:uiPriority w:val="0"/>
    <w:pPr>
      <w:suppressLineNumbers/>
      <w:spacing w:before="120" w:after="120"/>
    </w:pPr>
    <w:rPr>
      <w:i/>
      <w:iCs/>
      <w:sz w:val="24"/>
      <w:szCs w:val="24"/>
    </w:rPr>
  </w:style>
  <w:style w:type="character" w:styleId="11">
    <w:name w:val="annotation reference"/>
    <w:basedOn w:val="6"/>
    <w:autoRedefine/>
    <w:semiHidden/>
    <w:unhideWhenUsed/>
    <w:qFormat/>
    <w:uiPriority w:val="99"/>
    <w:rPr>
      <w:sz w:val="16"/>
      <w:szCs w:val="16"/>
    </w:rPr>
  </w:style>
  <w:style w:type="paragraph" w:styleId="12">
    <w:name w:val="annotation text"/>
    <w:basedOn w:val="1"/>
    <w:link w:val="25"/>
    <w:autoRedefine/>
    <w:semiHidden/>
    <w:unhideWhenUsed/>
    <w:qFormat/>
    <w:uiPriority w:val="99"/>
    <w:pPr>
      <w:spacing w:line="240" w:lineRule="auto"/>
    </w:pPr>
    <w:rPr>
      <w:sz w:val="20"/>
      <w:szCs w:val="20"/>
    </w:rPr>
  </w:style>
  <w:style w:type="paragraph" w:styleId="13">
    <w:name w:val="annotation subject"/>
    <w:basedOn w:val="12"/>
    <w:next w:val="12"/>
    <w:link w:val="26"/>
    <w:autoRedefine/>
    <w:semiHidden/>
    <w:unhideWhenUsed/>
    <w:qFormat/>
    <w:uiPriority w:val="99"/>
    <w:rPr>
      <w:b/>
      <w:bCs/>
    </w:rPr>
  </w:style>
  <w:style w:type="paragraph" w:styleId="14">
    <w:name w:val="footer"/>
    <w:basedOn w:val="4"/>
    <w:autoRedefine/>
    <w:qFormat/>
    <w:uiPriority w:val="0"/>
    <w:pPr>
      <w:suppressLineNumbers/>
      <w:tabs>
        <w:tab w:val="center" w:pos="4819"/>
        <w:tab w:val="right" w:pos="9638"/>
      </w:tabs>
    </w:pPr>
  </w:style>
  <w:style w:type="paragraph" w:styleId="15">
    <w:name w:val="header"/>
    <w:basedOn w:val="1"/>
    <w:autoRedefine/>
    <w:qFormat/>
    <w:uiPriority w:val="0"/>
    <w:pPr>
      <w:tabs>
        <w:tab w:val="center" w:pos="4536"/>
        <w:tab w:val="right" w:pos="9072"/>
      </w:tabs>
    </w:pPr>
  </w:style>
  <w:style w:type="paragraph" w:styleId="16">
    <w:name w:val="List"/>
    <w:basedOn w:val="5"/>
    <w:autoRedefine/>
    <w:qFormat/>
    <w:uiPriority w:val="0"/>
  </w:style>
  <w:style w:type="table" w:styleId="17">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Index"/>
    <w:basedOn w:val="4"/>
    <w:autoRedefine/>
    <w:qFormat/>
    <w:uiPriority w:val="0"/>
    <w:pPr>
      <w:suppressLineNumbers/>
    </w:pPr>
  </w:style>
  <w:style w:type="paragraph" w:customStyle="1" w:styleId="19">
    <w:name w:val="Table Contents"/>
    <w:basedOn w:val="4"/>
    <w:autoRedefine/>
    <w:qFormat/>
    <w:uiPriority w:val="0"/>
    <w:pPr>
      <w:widowControl w:val="0"/>
      <w:suppressLineNumbers/>
      <w:spacing w:after="0" w:line="240" w:lineRule="auto"/>
    </w:pPr>
    <w:rPr>
      <w:color w:val="00000A"/>
      <w:sz w:val="24"/>
      <w:szCs w:val="24"/>
      <w:lang w:eastAsia="zh-CN" w:bidi="hi-IN"/>
    </w:rPr>
  </w:style>
  <w:style w:type="paragraph" w:customStyle="1" w:styleId="20">
    <w:name w:val="Default"/>
    <w:autoRedefine/>
    <w:qFormat/>
    <w:uiPriority w:val="0"/>
    <w:pPr>
      <w:suppressAutoHyphens/>
      <w:autoSpaceDN w:val="0"/>
      <w:textAlignment w:val="baseline"/>
    </w:pPr>
    <w:rPr>
      <w:rFonts w:ascii="Calibri" w:hAnsi="Calibri" w:eastAsia="Times New Roman" w:cs="Times New Roman"/>
      <w:color w:val="000000"/>
      <w:kern w:val="3"/>
      <w:sz w:val="24"/>
      <w:szCs w:val="24"/>
      <w:lang w:val="pl-PL" w:eastAsia="pl-PL" w:bidi="ar-SA"/>
    </w:rPr>
  </w:style>
  <w:style w:type="paragraph" w:customStyle="1" w:styleId="21">
    <w:name w:val="Table Heading"/>
    <w:basedOn w:val="19"/>
    <w:autoRedefine/>
    <w:qFormat/>
    <w:uiPriority w:val="0"/>
    <w:pPr>
      <w:jc w:val="center"/>
    </w:pPr>
    <w:rPr>
      <w:b/>
      <w:bCs/>
    </w:rPr>
  </w:style>
  <w:style w:type="character" w:customStyle="1" w:styleId="22">
    <w:name w:val="Nagłówek 1 Znak"/>
    <w:autoRedefine/>
    <w:qFormat/>
    <w:uiPriority w:val="0"/>
    <w:rPr>
      <w:b/>
      <w:color w:val="000000"/>
      <w:sz w:val="22"/>
    </w:rPr>
  </w:style>
  <w:style w:type="character" w:customStyle="1" w:styleId="23">
    <w:name w:val="Tekst dymka Znak"/>
    <w:basedOn w:val="6"/>
    <w:autoRedefine/>
    <w:qFormat/>
    <w:uiPriority w:val="0"/>
    <w:rPr>
      <w:rFonts w:eastAsia="Calibri"/>
      <w:color w:val="000000"/>
      <w:sz w:val="18"/>
      <w:szCs w:val="18"/>
    </w:rPr>
  </w:style>
  <w:style w:type="paragraph" w:customStyle="1" w:styleId="24">
    <w:name w:val="Table Paragraph"/>
    <w:basedOn w:val="1"/>
    <w:autoRedefine/>
    <w:qFormat/>
    <w:uiPriority w:val="1"/>
    <w:pPr>
      <w:ind w:left="108"/>
    </w:pPr>
  </w:style>
  <w:style w:type="character" w:customStyle="1" w:styleId="25">
    <w:name w:val="Tekst komentarza Znak"/>
    <w:basedOn w:val="6"/>
    <w:link w:val="12"/>
    <w:autoRedefine/>
    <w:semiHidden/>
    <w:qFormat/>
    <w:uiPriority w:val="99"/>
    <w:rPr>
      <w:kern w:val="3"/>
    </w:rPr>
  </w:style>
  <w:style w:type="character" w:customStyle="1" w:styleId="26">
    <w:name w:val="Temat komentarza Znak"/>
    <w:basedOn w:val="25"/>
    <w:link w:val="13"/>
    <w:autoRedefine/>
    <w:semiHidden/>
    <w:qFormat/>
    <w:uiPriority w:val="99"/>
    <w:rPr>
      <w:b/>
      <w:bCs/>
      <w:kern w:val="3"/>
    </w:rPr>
  </w:style>
  <w:style w:type="paragraph" w:styleId="27">
    <w:name w:val="List Paragraph"/>
    <w:basedOn w:val="1"/>
    <w:autoRedefine/>
    <w:qFormat/>
    <w:uiPriority w:val="99"/>
    <w:pPr>
      <w:ind w:left="720"/>
      <w:contextualSpacing/>
    </w:pPr>
  </w:style>
  <w:style w:type="paragraph" w:customStyle="1" w:styleId="28">
    <w:name w:val="Normalny1"/>
    <w:qFormat/>
    <w:uiPriority w:val="0"/>
    <w:pPr>
      <w:spacing w:before="100" w:beforeAutospacing="1" w:after="100" w:afterAutospacing="1" w:line="276" w:lineRule="auto"/>
    </w:pPr>
    <w:rPr>
      <w:rFonts w:ascii="Calibri" w:hAnsi="Calibri" w:eastAsia="Times New Roman" w:cs="Times New Roman"/>
      <w:sz w:val="24"/>
      <w:szCs w:val="24"/>
      <w:lang w:val="pl-PL" w:eastAsia="pl-PL" w:bidi="ar-SA"/>
    </w:rPr>
  </w:style>
  <w:style w:type="paragraph" w:customStyle="1" w:styleId="29">
    <w:name w:val="Akapit z listą1"/>
    <w:basedOn w:val="1"/>
    <w:qFormat/>
    <w:uiPriority w:val="0"/>
    <w:pPr>
      <w:widowControl/>
      <w:suppressAutoHyphens w:val="0"/>
      <w:autoSpaceDN/>
      <w:spacing w:before="100" w:beforeAutospacing="1" w:after="100" w:afterAutospacing="1" w:line="276" w:lineRule="auto"/>
      <w:contextualSpacing/>
      <w:textAlignment w:val="auto"/>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1856</Words>
  <Characters>11137</Characters>
  <Lines>92</Lines>
  <Paragraphs>25</Paragraphs>
  <TotalTime>103</TotalTime>
  <ScaleCrop>false</ScaleCrop>
  <LinksUpToDate>false</LinksUpToDate>
  <CharactersWithSpaces>12968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2025-04-15T08:12:00Z</dcterms:created>
  <dc:creator>Zbig_2013</dc:creator>
  <cp:lastModifiedBy>WPS_1704351421</cp:lastModifiedBy>
  <cp:lastPrinted>2023-07-10T09:56:00Z</cp:lastPrinted>
  <dcterms:modified xsi:type="dcterms:W3CDTF">2025-10-30T07:21:09Z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1045-12.2.0.23131</vt:lpwstr>
  </property>
  <property fmtid="{D5CDD505-2E9C-101B-9397-08002B2CF9AE}" pid="9" name="ICV">
    <vt:lpwstr>29AB9CABD2744B5297725A1617A8ADEE_13</vt:lpwstr>
  </property>
</Properties>
</file>