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97" w:rsidRPr="00AB533F" w:rsidRDefault="005E6585">
      <w:pPr>
        <w:spacing w:line="360" w:lineRule="auto"/>
        <w:ind w:left="5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Zał. Nr 5 do SWZ - Opis Przedmiotu Zamówienia</w:t>
      </w:r>
    </w:p>
    <w:p w:rsidR="00442997" w:rsidRPr="00AB533F" w:rsidRDefault="00442997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997" w:rsidRPr="00AB533F" w:rsidRDefault="00442997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997" w:rsidRPr="00AB533F" w:rsidRDefault="00442997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997" w:rsidRPr="00AB533F" w:rsidRDefault="005E6585">
      <w:pPr>
        <w:tabs>
          <w:tab w:val="left" w:pos="8647"/>
        </w:tabs>
        <w:spacing w:line="360" w:lineRule="auto"/>
        <w:ind w:right="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:rsidR="00442997" w:rsidRPr="00AB533F" w:rsidRDefault="005E6585">
      <w:pPr>
        <w:spacing w:line="360" w:lineRule="auto"/>
        <w:ind w:right="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GMINA KREMPNA</w:t>
      </w:r>
    </w:p>
    <w:p w:rsidR="00442997" w:rsidRPr="00AB533F" w:rsidRDefault="005E6585">
      <w:pPr>
        <w:spacing w:line="360" w:lineRule="auto"/>
        <w:ind w:right="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KREMPNA 85</w:t>
      </w:r>
    </w:p>
    <w:p w:rsidR="00442997" w:rsidRPr="00AB533F" w:rsidRDefault="005E6585">
      <w:pPr>
        <w:spacing w:line="360" w:lineRule="auto"/>
        <w:ind w:right="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38 - 232 KREMPNA</w:t>
      </w:r>
    </w:p>
    <w:p w:rsidR="00442997" w:rsidRPr="00AB533F" w:rsidRDefault="005E6585">
      <w:pPr>
        <w:spacing w:line="360" w:lineRule="auto"/>
        <w:ind w:left="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42997" w:rsidRPr="00AB533F" w:rsidRDefault="005E6585">
      <w:pPr>
        <w:spacing w:line="360" w:lineRule="auto"/>
        <w:ind w:left="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42997" w:rsidRPr="00AB533F" w:rsidRDefault="005E6585">
      <w:pPr>
        <w:pStyle w:val="Nagwek1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Opis przedmiotu Zamówienia</w:t>
      </w:r>
    </w:p>
    <w:p w:rsidR="00442997" w:rsidRPr="00AB533F" w:rsidRDefault="005E6585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42997" w:rsidRPr="00AB533F" w:rsidRDefault="005E6585">
      <w:pPr>
        <w:spacing w:line="360" w:lineRule="auto"/>
        <w:ind w:left="17" w:hanging="1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>Nazwa zamówienia:</w:t>
      </w:r>
    </w:p>
    <w:p w:rsidR="00442997" w:rsidRPr="00AB533F" w:rsidRDefault="005E6585">
      <w:pPr>
        <w:spacing w:line="360" w:lineRule="auto"/>
        <w:ind w:left="17" w:hanging="1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>„Modernizacja oświetlenia ulicznego na terenie Gminy Krempna”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-5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ind w:left="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5E6585">
      <w:pPr>
        <w:spacing w:line="360" w:lineRule="auto"/>
        <w:ind w:right="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Krempna, </w:t>
      </w:r>
      <w:r w:rsidR="000F19E6">
        <w:rPr>
          <w:rFonts w:ascii="Arial" w:hAnsi="Arial" w:cs="Arial"/>
          <w:color w:val="000000" w:themeColor="text1"/>
          <w:sz w:val="22"/>
          <w:szCs w:val="22"/>
        </w:rPr>
        <w:t>Luty</w:t>
      </w:r>
      <w:bookmarkStart w:id="0" w:name="_GoBack"/>
      <w:bookmarkEnd w:id="0"/>
      <w:r w:rsidR="00AB533F" w:rsidRPr="00AB53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B533F">
        <w:rPr>
          <w:rFonts w:ascii="Arial" w:hAnsi="Arial" w:cs="Arial"/>
          <w:color w:val="000000" w:themeColor="text1"/>
          <w:sz w:val="22"/>
          <w:szCs w:val="22"/>
        </w:rPr>
        <w:t>202</w:t>
      </w:r>
      <w:r w:rsidR="00AB533F" w:rsidRPr="00AB533F">
        <w:rPr>
          <w:rFonts w:ascii="Arial" w:hAnsi="Arial" w:cs="Arial"/>
          <w:color w:val="000000" w:themeColor="text1"/>
          <w:sz w:val="22"/>
          <w:szCs w:val="22"/>
        </w:rPr>
        <w:t>3</w:t>
      </w:r>
    </w:p>
    <w:p w:rsidR="00442997" w:rsidRPr="00AB533F" w:rsidRDefault="00442997">
      <w:pPr>
        <w:spacing w:line="360" w:lineRule="auto"/>
        <w:ind w:right="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5E6585">
      <w:pPr>
        <w:spacing w:line="360" w:lineRule="auto"/>
        <w:ind w:right="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i/>
          <w:iCs/>
          <w:color w:val="000000" w:themeColor="text1"/>
          <w:sz w:val="22"/>
          <w:szCs w:val="22"/>
        </w:rPr>
        <w:br/>
      </w:r>
      <w:r w:rsidRPr="00AB533F">
        <w:rPr>
          <w:color w:val="000000" w:themeColor="text1"/>
        </w:rPr>
        <w:br w:type="page"/>
      </w: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bCs/>
          <w:color w:val="000000" w:themeColor="text1"/>
          <w:sz w:val="22"/>
          <w:szCs w:val="22"/>
        </w:rPr>
        <w:t>1. Przedmiot zamówienia</w:t>
      </w: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533F">
        <w:rPr>
          <w:rFonts w:ascii="Arial" w:hAnsi="Arial" w:cs="Arial"/>
          <w:color w:val="000000" w:themeColor="text1"/>
        </w:rPr>
        <w:t>Przedmiotem zamówienia jest modernizacja oświetlenia ulicznego na terenie Gminy Krempna polegająca na wymianie istniejących opraw oświetleniowych na oprawy oświetleniowe ze źródłem światła LED wraz z osprzętem sieciowym.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strike/>
          <w:color w:val="000000" w:themeColor="text1"/>
        </w:rPr>
      </w:pPr>
      <w:r w:rsidRPr="00AB533F">
        <w:rPr>
          <w:rFonts w:ascii="Arial" w:hAnsi="Arial" w:cs="Arial"/>
          <w:color w:val="000000" w:themeColor="text1"/>
        </w:rPr>
        <w:t>Zakres prac</w:t>
      </w:r>
      <w:r w:rsidR="00AB533F">
        <w:rPr>
          <w:rFonts w:ascii="Arial" w:hAnsi="Arial" w:cs="Arial"/>
          <w:color w:val="000000" w:themeColor="text1"/>
        </w:rPr>
        <w:t>: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Uzgodnienie prac z lokalnym Operatorem Systemu Dystrybucyjnego, 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Demontaż około 329 szt. istniejących opraw, 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Demontaż około 52 szt. wysięgników,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Dostawę opraw oświetleniowych ulicznych LED, zgodnych ze złożoną ofertą, w miejsce prowadzenia prac instalacyjnych w liczbie około 329 szt. o mocy 60W ±5%,  W i 80W  ±5%, 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Montaż lamp o mocy 80 W ±5% przy skrzyżowani</w:t>
      </w:r>
      <w:r w:rsidR="00AE4F16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ach i przy drogach wojewódzkich </w:t>
      </w:r>
      <w:r w:rsidR="00AE4F16" w:rsidRPr="00AE4F16">
        <w:rPr>
          <w:rFonts w:ascii="Arial" w:eastAsia="SimSun" w:hAnsi="Arial" w:cs="Arial"/>
          <w:kern w:val="3"/>
          <w:lang w:eastAsia="zh-CN" w:bidi="hi-IN"/>
        </w:rPr>
        <w:t>oraz na słupach znacznie oddalonych od jezdni.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Dostawę wysięgników oświetleniowych jednoramiennych o wysięgu L=1.5 m, stalowe, ocynkowane ogniowo, kącie nachylenia 75 stopnia, z uchwytami montażowymi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Montaż dostarczonych wysięgników około 52 szt.,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Instalację dostarczonych opraw oświetlenia zewnętrznego na wysięgnikach i słupach w liczbie około 329 szt.,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Montaż w szafkach oświetlenia ulicznego zabezpieczeń o mocach </w:t>
      </w: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br/>
        <w:t>i charakterystykach  dostosowanych do  obwodów oświetleniowych po modernizacji.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Dopuszcza się zmianę ilościową pomiędzy poszczególnymi pozycjami kalkulacji oferty w kwocie zaoferowanej całkowitej ryczałtowej z uwagi na fakt, że podczas wykonania montażu urządzeń mogą wystąpić na to wpływające lokalne warunki techniczne np. ukształtowanie terenu, odległość od drogi itp.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Podczas montażu opraw, jeśli światło punktu świetlnego jest ograniczone przez gałęzie drzew, należy usunąć przeszkodę przez przycięcie,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Wykonanie pomiarów skuteczności ochrony przeciwporażeniowej,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Wykonanie pomiarów rezystancji uziemienia i izolacji przewodów i kabli,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Wykonanie pomiarów natężenia oświetlenia dla wskazanych przez Zamawiającego odcinków modernizowanego oświetlenia, 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lastRenderedPageBreak/>
        <w:t xml:space="preserve">Wykonanie pomiarów mocy zainstalowanej oraz cos φ dla wszystkich zmodernizowanych obwodów oświetlenia i ich kompensacja w razie potrzeby, </w:t>
      </w: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br/>
        <w:t xml:space="preserve">w przypadku nie osiągnięcia cos  φ </w:t>
      </w:r>
      <w:r w:rsidRPr="00AB533F">
        <w:rPr>
          <w:rFonts w:ascii="Liberation Serif" w:eastAsia="Liberation Serif" w:hAnsi="Liberation Serif" w:cs="Liberation Serif"/>
          <w:color w:val="000000" w:themeColor="text1"/>
          <w:kern w:val="2"/>
          <w:lang w:eastAsia="zh-CN" w:bidi="hi-IN"/>
        </w:rPr>
        <w:t>≥</w:t>
      </w: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 0,95.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Sprawdzenie ciągłości żył kabli zasilających,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Wykonanie projektów czasowej organizacji ruchu wraz z jej wprowadzeniem, jeśli są wymagane,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>Wykonanie dokumentacji powykonawczej dla opraw podlegających wymianie.</w:t>
      </w:r>
    </w:p>
    <w:p w:rsidR="00442997" w:rsidRPr="00AB533F" w:rsidRDefault="005E6585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  <w:color w:val="000000" w:themeColor="text1"/>
          <w:kern w:val="2"/>
          <w:lang w:eastAsia="zh-CN" w:bidi="hi-IN"/>
        </w:rPr>
      </w:pP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Wymagany okres gwarancji na wykonany przedmiot umowy – zgodnie z deklaracją Wykonawcy, nie mniej niż </w:t>
      </w:r>
      <w:r w:rsidR="00C51A29">
        <w:rPr>
          <w:rFonts w:ascii="Arial" w:eastAsia="SimSun" w:hAnsi="Arial" w:cs="Arial"/>
          <w:color w:val="000000" w:themeColor="text1"/>
          <w:kern w:val="2"/>
          <w:lang w:eastAsia="zh-CN" w:bidi="hi-IN"/>
        </w:rPr>
        <w:t>36</w:t>
      </w: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 miesięcy. Wymagany okres rękojmi na wykonany przedmiot umowy – zgodnie z deklaracją Wykonawcy, nie mniej niż </w:t>
      </w:r>
      <w:r w:rsidR="00C51A29">
        <w:rPr>
          <w:rFonts w:ascii="Arial" w:eastAsia="SimSun" w:hAnsi="Arial" w:cs="Arial"/>
          <w:color w:val="000000" w:themeColor="text1"/>
          <w:kern w:val="2"/>
          <w:lang w:eastAsia="zh-CN" w:bidi="hi-IN"/>
        </w:rPr>
        <w:t>36</w:t>
      </w:r>
      <w:r w:rsidRPr="00AB533F">
        <w:rPr>
          <w:rFonts w:ascii="Arial" w:eastAsia="SimSun" w:hAnsi="Arial" w:cs="Arial"/>
          <w:color w:val="000000" w:themeColor="text1"/>
          <w:kern w:val="2"/>
          <w:lang w:eastAsia="zh-CN" w:bidi="hi-IN"/>
        </w:rPr>
        <w:t xml:space="preserve"> miesięcy. W ramach gwarancji Wykonawca zobowiązuje się do utrzymania w stanie niepogorszonym parametrów technicznych i użytkowych zamontowanych urządzeń uzyskanych w wyniku realizacji zadania. Zamawiającemu przysługują pełne uprawnienia z tytułu rękojmi za wady fizyczne w ww. okresie niezależnie od uprawnień z tytułu gwarancji. Udzielając gwarancji Wykonawca zapewnia bezpłatne czynności przeglądów gwarancyjnych w okresie udzielonej gwarancji na cały przedmiot zamówienia, koszt ten wykonawca winien uwzględnić w wynagrodzeniu. Przeglądy będą się odbywały minimum raz w roku chyba, że gwarancja producenta danego urządzenia, materiału wymaga częstszych przeglądów gwarancyjnych. 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bCs/>
          <w:color w:val="000000" w:themeColor="text1"/>
          <w:sz w:val="22"/>
          <w:szCs w:val="22"/>
        </w:rPr>
        <w:t>2. Cele realizacji zamówienia</w:t>
      </w:r>
    </w:p>
    <w:p w:rsidR="00442997" w:rsidRPr="00AB533F" w:rsidRDefault="005E65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Podniesienie efektywności energetycznej sieci oświetlenia ulicznego na terenie Gminy Krempna,</w:t>
      </w:r>
    </w:p>
    <w:p w:rsidR="00442997" w:rsidRPr="00AB533F" w:rsidRDefault="005E65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Zwiększenie bezpieczeństwa komunikacyjnego poprzez poprawę warunków oświetleniowych na odcinkach dróg zlokalizowanych na terenie Gminy Krempna. 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bCs/>
          <w:color w:val="000000" w:themeColor="text1"/>
          <w:sz w:val="22"/>
          <w:szCs w:val="22"/>
        </w:rPr>
        <w:t>3. Termin wykonania zamówienia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Zamawiający wymaga, aby umo</w:t>
      </w:r>
      <w:r w:rsidR="00C51A29">
        <w:rPr>
          <w:rFonts w:ascii="Arial" w:hAnsi="Arial" w:cs="Arial"/>
          <w:color w:val="000000" w:themeColor="text1"/>
          <w:sz w:val="22"/>
          <w:szCs w:val="22"/>
        </w:rPr>
        <w:t>wa została wykonana w terminie 4</w:t>
      </w: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 miesięcy od dnia podpisania umowy.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bCs/>
          <w:color w:val="000000" w:themeColor="text1"/>
          <w:sz w:val="22"/>
          <w:szCs w:val="22"/>
        </w:rPr>
        <w:t>4. Zakres przedmiotowego zamówienia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>Wykonawca zobowiązany jest do wykonania w szczególności następujących czynności zmierzających do realizacji przedmiotu zamówienia: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Wykonawca jest zobowiązany do uiszczenia opłat za zajęcie pasa drogowego przy drogach krajowych, wojewódzkich i powiatowych,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Przedmiot umowy nie obejmuje jakichkolwiek czynności związanych z budową, lub wymianą słupów, na których posadowione jest oświetlenie uliczne,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lastRenderedPageBreak/>
        <w:t>Wykonawca zobowiązuje się dostarczyć wyłącznie urządzenia fabrycznie nowe spełniające wymagane normy jakościowe obowiązujące w tym zakresie.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100151558"/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>udzieli gwarancji</w:t>
      </w: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 na oprawy lamp wraz ze źródłem światła LED na okres </w:t>
      </w: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 w:rsidR="00C51A29" w:rsidRPr="00C51A29">
        <w:rPr>
          <w:rFonts w:ascii="Arial" w:hAnsi="Arial" w:cs="Arial"/>
          <w:b/>
          <w:color w:val="000000" w:themeColor="text1"/>
          <w:sz w:val="22"/>
          <w:szCs w:val="22"/>
        </w:rPr>
        <w:t>36</w:t>
      </w:r>
      <w:r w:rsidRPr="00AB533F">
        <w:rPr>
          <w:rFonts w:ascii="Arial" w:hAnsi="Arial" w:cs="Arial"/>
          <w:b/>
          <w:color w:val="000000" w:themeColor="text1"/>
          <w:sz w:val="22"/>
          <w:szCs w:val="22"/>
        </w:rPr>
        <w:t xml:space="preserve"> miesięcy</w:t>
      </w:r>
      <w:r w:rsidRPr="00AB533F">
        <w:rPr>
          <w:rFonts w:ascii="Arial" w:hAnsi="Arial" w:cs="Arial"/>
          <w:color w:val="000000" w:themeColor="text1"/>
          <w:sz w:val="22"/>
          <w:szCs w:val="22"/>
        </w:rPr>
        <w:t>. Okres gwarancji rozpoczyna się od daty odbioru potwierdzonego protokołem końcowym zakończenia montażu zmodernizowanego oświetlenia.</w:t>
      </w:r>
      <w:bookmarkEnd w:id="1"/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Wykonawca jest zobowiązany do wydzielenia i zabezpieczenia terenu prowadzonych robót.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Wykonywanie robót, odbiory oraz organizację robót (BHP, p.poż, oraz koordynacja </w:t>
      </w:r>
      <w:r w:rsidRPr="00AB533F">
        <w:rPr>
          <w:rFonts w:ascii="Arial" w:hAnsi="Arial" w:cs="Arial"/>
          <w:color w:val="000000" w:themeColor="text1"/>
          <w:sz w:val="22"/>
          <w:szCs w:val="22"/>
        </w:rPr>
        <w:br/>
        <w:t>w zakresie BHP) na terenie prowadzonych robót należy prowadzić w oparciu o aktualne normy i przepisy prawa powszechnie obowiązującego.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Wykonawca ponosi koszt transportu zdemontowanych opraw własności PGE DYSTRYBUCJA S.A Oddział Krosno w miejsce wskazane przez PGE DYSTRYBUCJA S.A. Oddział Krosno.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Wykonawca ponosi koszt transportu zdemontowanych opraw we wskazane miejsce składowania ustalone przez Wykonawcę z Zamawiającym.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Procedury i koszty związane z przerwami, włączeniami dostaw prądu, bez których nie będzie możliwa realizacja przedmiotu zamówienia Wykonawca musi uwzględnić przy opracowaniu oferty zgodnie z przyjętymi zasadami w PGE DYSTRYBUCJA S.A Oddział Krosno. Wykonawca ponosi koszty z tym związane.</w:t>
      </w:r>
    </w:p>
    <w:p w:rsidR="00442997" w:rsidRPr="00AB533F" w:rsidRDefault="005E6585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Zamawiający wymaga, aby kierowanie robotami wymiany lamp odbywało się przez osobę/y posiadającą/e wymagane uprawnienia do kierowania robotami budowlanymi w specjalności instalacyjnej w zakresie sieci, instalacji elektrycznych</w:t>
      </w:r>
    </w:p>
    <w:p w:rsidR="00442997" w:rsidRPr="00AB533F" w:rsidRDefault="005E6585">
      <w:pPr>
        <w:widowControl w:val="0"/>
        <w:spacing w:before="24"/>
        <w:jc w:val="both"/>
        <w:rPr>
          <w:rFonts w:ascii="Arial" w:hAnsi="Arial" w:cs="Arial"/>
          <w:b/>
          <w:color w:val="000000" w:themeColor="text1"/>
        </w:rPr>
      </w:pPr>
      <w:r w:rsidRPr="00AB533F">
        <w:rPr>
          <w:rFonts w:ascii="Arial" w:hAnsi="Arial" w:cs="Arial"/>
          <w:b/>
          <w:color w:val="000000" w:themeColor="text1"/>
        </w:rPr>
        <w:t xml:space="preserve">5. Oprawy oświetleniowe </w:t>
      </w:r>
    </w:p>
    <w:p w:rsidR="00442997" w:rsidRPr="00AB533F" w:rsidRDefault="00442997">
      <w:pPr>
        <w:widowControl w:val="0"/>
        <w:spacing w:before="24"/>
        <w:jc w:val="both"/>
        <w:rPr>
          <w:rFonts w:ascii="Arial" w:hAnsi="Arial" w:cs="Arial"/>
          <w:b/>
          <w:color w:val="000000" w:themeColor="text1"/>
        </w:rPr>
      </w:pP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W ramach prowadzonej inwestycji ma zostać zainstalowanych około 329 szt. opraw oświetleniowych. Oprawy oświetleniowe muszą spełniać wymagania techniczno-użytkowe Zamawiającego, czyli gwarantować wartości parametrów oświetleniowych, na poziomie nie mniejszym niż wymagania normy PN-EN 13201:2016 – Oświetlenie dróg lub równoważnego systemu odniesienia. 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Moce opraw zostały określone przez Zamawiającego i nie podlegają możliwości zmiany. </w:t>
      </w: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2997" w:rsidRPr="00AB533F" w:rsidRDefault="00442997">
      <w:pPr>
        <w:widowControl w:val="0"/>
        <w:spacing w:before="24"/>
        <w:jc w:val="both"/>
        <w:rPr>
          <w:rFonts w:ascii="Arial" w:hAnsi="Arial" w:cs="Arial"/>
          <w:b/>
          <w:color w:val="000000" w:themeColor="text1"/>
        </w:rPr>
      </w:pPr>
    </w:p>
    <w:p w:rsidR="00442997" w:rsidRPr="00AB533F" w:rsidRDefault="005E6585">
      <w:pPr>
        <w:widowControl w:val="0"/>
        <w:spacing w:before="24"/>
        <w:jc w:val="both"/>
        <w:rPr>
          <w:rFonts w:ascii="Arial" w:hAnsi="Arial" w:cs="Arial"/>
          <w:b/>
          <w:color w:val="000000" w:themeColor="text1"/>
        </w:rPr>
      </w:pPr>
      <w:r w:rsidRPr="00AB533F">
        <w:rPr>
          <w:rFonts w:ascii="Arial" w:hAnsi="Arial" w:cs="Arial"/>
          <w:b/>
          <w:color w:val="000000" w:themeColor="text1"/>
        </w:rPr>
        <w:t>6. Szczegółowe wymagania techniczno-użytkowe dla opraw oświetleniowych</w:t>
      </w:r>
    </w:p>
    <w:p w:rsidR="00442997" w:rsidRPr="00AB533F" w:rsidRDefault="00442997">
      <w:pPr>
        <w:widowControl w:val="0"/>
        <w:spacing w:before="24"/>
        <w:jc w:val="both"/>
        <w:rPr>
          <w:rFonts w:ascii="Arial" w:hAnsi="Arial" w:cs="Arial"/>
          <w:b/>
          <w:color w:val="000000" w:themeColor="text1"/>
        </w:rPr>
      </w:pP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 xml:space="preserve">Oprawy wykorzystane do realizacji przedmiotu zamówienia zarówno w części dotyczącej modernizacji oraz budowy muszą spełniać minimalne parametry techniczne określone w tabeli poniżej. </w:t>
      </w:r>
    </w:p>
    <w:p w:rsidR="00442997" w:rsidRPr="00AB533F" w:rsidRDefault="005E6585">
      <w:pPr>
        <w:jc w:val="both"/>
        <w:rPr>
          <w:rFonts w:ascii="Arial" w:hAnsi="Arial" w:cs="Arial"/>
          <w:b/>
          <w:color w:val="000000" w:themeColor="text1"/>
        </w:rPr>
      </w:pPr>
      <w:r w:rsidRPr="00AB533F">
        <w:rPr>
          <w:rFonts w:ascii="Arial" w:hAnsi="Arial" w:cs="Arial"/>
          <w:b/>
          <w:color w:val="000000" w:themeColor="text1"/>
        </w:rPr>
        <w:t>Oprawy oświetlenia ulicznego:</w:t>
      </w:r>
    </w:p>
    <w:p w:rsidR="00442997" w:rsidRPr="00AB533F" w:rsidRDefault="00442997">
      <w:pPr>
        <w:pStyle w:val="Tekstpodstawowy"/>
        <w:rPr>
          <w:rFonts w:cs="Arial"/>
          <w:color w:val="000000" w:themeColor="text1"/>
          <w:sz w:val="22"/>
          <w:szCs w:val="22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686"/>
        <w:gridCol w:w="2259"/>
        <w:gridCol w:w="4449"/>
        <w:gridCol w:w="1671"/>
      </w:tblGrid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L.p.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Dane techniczne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Wymagana wartość parametru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Dowód spełnienia wymagania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Konstrukcja oprawy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Oprawa oświetlenia ulicznego o korpusie wykonanym z wysokociśnieniowego odlewu aluminiowego.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2259" w:type="dxa"/>
          </w:tcPr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Klosz oprawy </w:t>
            </w:r>
          </w:p>
        </w:tc>
        <w:tc>
          <w:tcPr>
            <w:tcW w:w="4449" w:type="dxa"/>
          </w:tcPr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Hartowane szkło 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Montaż oprawy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Oprawa wyposażona w uniwersalny uchwyt do montażu na słupie lub do wysięgnika. Możliwość regulacji: na wysięgniku o średnicach ɸ 48 - 60 mm - regulacja w zakresie minimum -15° do + 15° .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Optyka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System optyczny zapewniający pełne ograniczenie emisji światła w górną półprzestrzeń. 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Klasa ochrony przeciwporażeniowej (izolacji)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I lub II klasa ochrony p. porażeniowej [norma PN-EN 60529,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Kalkulowany spadek strumienia światła. Trwałość.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L80B20 do min.100 000 godzin przy 25</w:t>
            </w:r>
            <w:r w:rsidRPr="00AB533F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°</w:t>
            </w: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techniczna,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Stopień szczelności komory osprzętu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Min. IP66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 Deklaracja Producenta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8.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Stopień odporności na uderzenia klosza oprawy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Min. IK08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 Deklaracja Producenta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Wydajność świetlna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Skuteczność świetlna oprawy (uwzględniająca wszystkie straty) min.120lm/W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 Deklaracja Producenta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10.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Zasilanie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Napięcie nominalne 230 V - 50Hz</w:t>
            </w:r>
          </w:p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Zasilacz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Zasilacz zintegrowany z modułem świetlnym lub oddzielny zamontowany w komorze zasilającej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Zabezpieczenia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Ochrona przepięć minimum 10kV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13.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Temperatura barwowa źródeł światła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Oprawa musi być wyposażona w panel LED z diodami o emitowanej barwie światła 4000 K +/- 200 K.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14.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Wskaźnik oddawania barw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CRI&gt;70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C51A29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15</w:t>
            </w:r>
            <w:r w:rsidR="005E6585"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Zakres temperatury pracy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Min: -20°C do +35°C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Karta techniczna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C51A29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16</w:t>
            </w:r>
            <w:r w:rsidR="005E6585"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Współczynnik mocy PF/ Cos ɸ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&gt; 0,95 dla mocy znamionowej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techniczna,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C51A29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17</w:t>
            </w:r>
            <w:r w:rsidR="005E6585" w:rsidRPr="00AB533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Gwarancja producenta min.</w:t>
            </w:r>
            <w:r w:rsidR="00EE28B1">
              <w:rPr>
                <w:rFonts w:eastAsia="Calibri"/>
                <w:color w:val="000000" w:themeColor="text1"/>
                <w:sz w:val="22"/>
                <w:szCs w:val="22"/>
              </w:rPr>
              <w:t>36</w:t>
            </w: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 miesięcy.</w:t>
            </w:r>
          </w:p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Długość gwarancji udzielonej przez producenta opraw nie może być krótsza niż zadeklarowana przez Wykonawcę i stanowiąca kryterium wyboru ofert. </w:t>
            </w:r>
          </w:p>
          <w:p w:rsidR="00442997" w:rsidRPr="00AB533F" w:rsidRDefault="00442997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Oświadczenie producenta o długości udzielonej gwarancji. </w:t>
            </w:r>
          </w:p>
        </w:tc>
      </w:tr>
      <w:tr w:rsidR="00AB533F" w:rsidRPr="00AB533F" w:rsidTr="00C51A29">
        <w:tc>
          <w:tcPr>
            <w:tcW w:w="686" w:type="dxa"/>
          </w:tcPr>
          <w:p w:rsidR="00442997" w:rsidRPr="00AB533F" w:rsidRDefault="00C51A29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18</w:t>
            </w:r>
            <w:r w:rsidR="005E6585"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Certyfikaty 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 xml:space="preserve">Oprawa musi posiadać deklarację CE, 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Deklaracja CE</w:t>
            </w:r>
          </w:p>
        </w:tc>
      </w:tr>
      <w:tr w:rsidR="00442997" w:rsidRPr="00AB533F" w:rsidTr="00C51A29">
        <w:tc>
          <w:tcPr>
            <w:tcW w:w="686" w:type="dxa"/>
          </w:tcPr>
          <w:p w:rsidR="00442997" w:rsidRPr="00AB533F" w:rsidRDefault="00C51A29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19</w:t>
            </w:r>
            <w:r w:rsidR="005E6585" w:rsidRPr="00AB533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Moc opraw</w:t>
            </w:r>
          </w:p>
        </w:tc>
        <w:tc>
          <w:tcPr>
            <w:tcW w:w="4449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60 ±5%,  </w:t>
            </w: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80W ±5%</w:t>
            </w:r>
          </w:p>
        </w:tc>
        <w:tc>
          <w:tcPr>
            <w:tcW w:w="1671" w:type="dxa"/>
          </w:tcPr>
          <w:p w:rsidR="00442997" w:rsidRPr="00AB533F" w:rsidRDefault="005E6585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B533F">
              <w:rPr>
                <w:rFonts w:eastAsia="Calibri"/>
                <w:color w:val="000000" w:themeColor="text1"/>
                <w:sz w:val="22"/>
                <w:szCs w:val="22"/>
              </w:rPr>
              <w:t>Karta techniczna</w:t>
            </w:r>
          </w:p>
        </w:tc>
      </w:tr>
    </w:tbl>
    <w:p w:rsidR="00442997" w:rsidRPr="00AB533F" w:rsidRDefault="00442997">
      <w:pPr>
        <w:jc w:val="both"/>
        <w:rPr>
          <w:rFonts w:ascii="Arial" w:hAnsi="Arial" w:cs="Arial"/>
          <w:color w:val="000000" w:themeColor="text1"/>
        </w:rPr>
      </w:pP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color w:val="000000" w:themeColor="text1"/>
          <w:sz w:val="22"/>
          <w:szCs w:val="22"/>
        </w:rPr>
        <w:t>Podane informacje w tabeli opisują wymagania dotyczące parametrów oferowanych urządzeń oraz sposób oceny przez Zamawiającego, czy oferowane urządzenia spełniają lub nie spełniają lub oferują rozwiązania równoważne. Nie spełnienie dowolnego z podanych parametrów jest podstawą do odrzucenia oferty Wykonawcy.</w:t>
      </w:r>
    </w:p>
    <w:p w:rsidR="00442997" w:rsidRPr="00AB533F" w:rsidRDefault="005E6585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B533F">
        <w:rPr>
          <w:rFonts w:ascii="Arial" w:hAnsi="Arial" w:cs="Arial"/>
          <w:bCs/>
          <w:color w:val="000000" w:themeColor="text1"/>
          <w:sz w:val="22"/>
          <w:szCs w:val="22"/>
        </w:rPr>
        <w:t>Karta techniczna może być uzupełniona o inne dokumenty (instrukcja montażu, raporty z badań itp.) jeżeli z karty technicznej nie wynika jednoznacznie spełnienie wymagań określonych przez Zamawiającego.</w:t>
      </w:r>
    </w:p>
    <w:p w:rsidR="00442997" w:rsidRPr="00AB533F" w:rsidRDefault="005E6585">
      <w:pPr>
        <w:pStyle w:val="Tekstpodstawowy"/>
        <w:widowControl w:val="0"/>
        <w:suppressAutoHyphens w:val="0"/>
        <w:spacing w:before="24" w:after="0"/>
        <w:rPr>
          <w:rFonts w:cs="Arial"/>
          <w:b/>
          <w:color w:val="000000" w:themeColor="text1"/>
          <w:sz w:val="22"/>
          <w:szCs w:val="22"/>
        </w:rPr>
      </w:pPr>
      <w:r w:rsidRPr="00AB533F">
        <w:rPr>
          <w:rFonts w:cs="Arial"/>
          <w:b/>
          <w:color w:val="000000" w:themeColor="text1"/>
          <w:sz w:val="22"/>
          <w:szCs w:val="22"/>
        </w:rPr>
        <w:t>7. System sterowania</w:t>
      </w:r>
    </w:p>
    <w:p w:rsidR="00442997" w:rsidRPr="00AB533F" w:rsidRDefault="00442997">
      <w:pPr>
        <w:pStyle w:val="Tekstpodstawowy"/>
        <w:widowControl w:val="0"/>
        <w:suppressAutoHyphens w:val="0"/>
        <w:spacing w:before="24" w:after="0"/>
        <w:rPr>
          <w:rFonts w:cs="Arial"/>
          <w:b/>
          <w:color w:val="000000" w:themeColor="text1"/>
          <w:sz w:val="22"/>
          <w:szCs w:val="22"/>
        </w:rPr>
      </w:pPr>
    </w:p>
    <w:p w:rsidR="00442997" w:rsidRPr="00C51A29" w:rsidRDefault="005E6585" w:rsidP="00C51A29">
      <w:pPr>
        <w:pStyle w:val="Tekstpodstawowy"/>
        <w:widowControl w:val="0"/>
        <w:suppressAutoHyphens w:val="0"/>
        <w:spacing w:before="24" w:after="0" w:line="360" w:lineRule="auto"/>
        <w:rPr>
          <w:color w:val="000000" w:themeColor="text1"/>
        </w:rPr>
      </w:pPr>
      <w:r w:rsidRPr="00AB533F">
        <w:rPr>
          <w:rFonts w:cs="Arial"/>
          <w:color w:val="000000" w:themeColor="text1"/>
          <w:sz w:val="22"/>
          <w:szCs w:val="22"/>
        </w:rPr>
        <w:t>W układach sterowania oświetlenia należy po modernizacji przeliczyć na nowo zabezpieczenia obwodów oświetleniowych, następnie dobrać i zamontować poprawne zabezpieczenia obwodów  w sposób umożliwiający uzyskanie widocznej przerwy serwisowej.</w:t>
      </w:r>
    </w:p>
    <w:p w:rsidR="00442997" w:rsidRPr="00AB533F" w:rsidRDefault="005E6585">
      <w:pPr>
        <w:pStyle w:val="Tekstpodstawowy"/>
        <w:widowControl w:val="0"/>
        <w:suppressAutoHyphens w:val="0"/>
        <w:spacing w:before="24" w:after="0"/>
        <w:rPr>
          <w:rFonts w:cs="Arial"/>
          <w:b/>
          <w:color w:val="000000" w:themeColor="text1"/>
          <w:sz w:val="22"/>
          <w:szCs w:val="22"/>
        </w:rPr>
      </w:pPr>
      <w:r w:rsidRPr="00AB533F">
        <w:rPr>
          <w:rFonts w:cs="Arial"/>
          <w:b/>
          <w:color w:val="000000" w:themeColor="text1"/>
          <w:sz w:val="22"/>
          <w:szCs w:val="22"/>
        </w:rPr>
        <w:t xml:space="preserve">8. Kompensacja mocy biernej. </w:t>
      </w:r>
    </w:p>
    <w:p w:rsidR="00442997" w:rsidRPr="00AB533F" w:rsidRDefault="00442997">
      <w:pPr>
        <w:pStyle w:val="Tekstpodstawowy"/>
        <w:widowControl w:val="0"/>
        <w:suppressAutoHyphens w:val="0"/>
        <w:spacing w:before="24" w:after="0"/>
        <w:rPr>
          <w:rFonts w:cs="Arial"/>
          <w:b/>
          <w:color w:val="000000" w:themeColor="text1"/>
          <w:sz w:val="22"/>
          <w:szCs w:val="22"/>
        </w:rPr>
      </w:pPr>
    </w:p>
    <w:p w:rsidR="00442997" w:rsidRPr="00C51A29" w:rsidRDefault="005E6585" w:rsidP="00C51A29">
      <w:pPr>
        <w:pStyle w:val="Tekstpodstawowy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AB533F">
        <w:rPr>
          <w:rFonts w:cs="Arial"/>
          <w:color w:val="000000" w:themeColor="text1"/>
          <w:sz w:val="22"/>
          <w:szCs w:val="22"/>
        </w:rPr>
        <w:t>Oprawy LED użyte do modernizacji oraz rozbudowy oświetlenia drogowego powinny być wyposażone w zasilacze o parametrach PF określonych w tabeli z pkt 2 dla całego zakresu mocy biernej w całym zakresie pracy, tzn. również w czasie redukcji mocy oprawy. Warunkiem odbioru robót jest wykonanie pomiarów i dostarczenie wyników w formie papierowej potwierdzających, że energia bierna pojemnościowa została skompensowana, a energia bierna indukcyjna nie przekracza dopuszczalnej wartości (tgϕ ≤ 0,4) Pomiary należy wykonać w czasie 15 minut w sytuacji, gdy oprawy świecą mocą maksymalną, czyli 100%. Urządzenia kompensacji grupowej jeżeli będą wymagane należy zamontować w części sterującej szafki bądź, o ile takiej możliwości nie będzie, wykonać jako dodatkowy człon kompensacyjny.</w:t>
      </w:r>
    </w:p>
    <w:sectPr w:rsidR="00442997" w:rsidRPr="00C51A2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21" w:right="1412" w:bottom="1507" w:left="1419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AD" w:rsidRDefault="007C19AD">
      <w:r>
        <w:separator/>
      </w:r>
    </w:p>
  </w:endnote>
  <w:endnote w:type="continuationSeparator" w:id="0">
    <w:p w:rsidR="007C19AD" w:rsidRDefault="007C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97" w:rsidRDefault="005E6585">
    <w:pPr>
      <w:spacing w:after="158" w:line="259" w:lineRule="auto"/>
      <w:ind w:right="3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</w:instrText>
    </w:r>
    <w:r>
      <w:rPr>
        <w:rFonts w:ascii="Calibri" w:eastAsia="Calibri" w:hAnsi="Calibri" w:cs="Calibri"/>
        <w:b/>
        <w:sz w:val="22"/>
      </w:rPr>
      <w:fldChar w:fldCharType="separate"/>
    </w:r>
    <w:r w:rsidR="00EE28B1">
      <w:rPr>
        <w:rFonts w:ascii="Calibri" w:eastAsia="Calibri" w:hAnsi="Calibri" w:cs="Calibri"/>
        <w:b/>
        <w:noProof/>
        <w:sz w:val="22"/>
      </w:rPr>
      <w:t>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42997" w:rsidRDefault="005E6585">
    <w:pPr>
      <w:spacing w:line="259" w:lineRule="auto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97" w:rsidRDefault="005E6585">
    <w:pPr>
      <w:spacing w:after="158" w:line="259" w:lineRule="auto"/>
      <w:ind w:right="3"/>
      <w:jc w:val="center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Strona </w:t>
    </w:r>
    <w:r>
      <w:rPr>
        <w:rFonts w:ascii="Arial" w:eastAsia="Calibri" w:hAnsi="Arial" w:cs="Arial"/>
        <w:sz w:val="20"/>
        <w:szCs w:val="20"/>
      </w:rPr>
      <w:fldChar w:fldCharType="begin"/>
    </w:r>
    <w:r>
      <w:rPr>
        <w:rFonts w:ascii="Arial" w:eastAsia="Calibri" w:hAnsi="Arial" w:cs="Arial"/>
        <w:sz w:val="20"/>
        <w:szCs w:val="20"/>
      </w:rPr>
      <w:instrText xml:space="preserve"> PAGE </w:instrText>
    </w:r>
    <w:r>
      <w:rPr>
        <w:rFonts w:ascii="Arial" w:eastAsia="Calibri" w:hAnsi="Arial" w:cs="Arial"/>
        <w:sz w:val="20"/>
        <w:szCs w:val="20"/>
      </w:rPr>
      <w:fldChar w:fldCharType="separate"/>
    </w:r>
    <w:r w:rsidR="000F19E6">
      <w:rPr>
        <w:rFonts w:ascii="Arial" w:eastAsia="Calibri" w:hAnsi="Arial" w:cs="Arial"/>
        <w:noProof/>
        <w:sz w:val="20"/>
        <w:szCs w:val="20"/>
      </w:rPr>
      <w:t>4</w:t>
    </w:r>
    <w:r>
      <w:rPr>
        <w:rFonts w:ascii="Arial" w:eastAsia="Calibri" w:hAnsi="Arial" w:cs="Arial"/>
        <w:sz w:val="20"/>
        <w:szCs w:val="20"/>
      </w:rPr>
      <w:fldChar w:fldCharType="end"/>
    </w:r>
    <w:r>
      <w:rPr>
        <w:rFonts w:ascii="Arial" w:eastAsia="Calibri" w:hAnsi="Arial" w:cs="Arial"/>
        <w:sz w:val="20"/>
        <w:szCs w:val="20"/>
      </w:rPr>
      <w:t xml:space="preserve"> z </w:t>
    </w:r>
    <w:r>
      <w:rPr>
        <w:rFonts w:ascii="Arial" w:eastAsia="Calibri" w:hAnsi="Arial" w:cs="Arial"/>
        <w:sz w:val="20"/>
        <w:szCs w:val="20"/>
      </w:rPr>
      <w:fldChar w:fldCharType="begin"/>
    </w:r>
    <w:r>
      <w:rPr>
        <w:rFonts w:ascii="Arial" w:eastAsia="Calibri" w:hAnsi="Arial" w:cs="Arial"/>
        <w:sz w:val="20"/>
        <w:szCs w:val="20"/>
      </w:rPr>
      <w:instrText xml:space="preserve"> NUMPAGES </w:instrText>
    </w:r>
    <w:r>
      <w:rPr>
        <w:rFonts w:ascii="Arial" w:eastAsia="Calibri" w:hAnsi="Arial" w:cs="Arial"/>
        <w:sz w:val="20"/>
        <w:szCs w:val="20"/>
      </w:rPr>
      <w:fldChar w:fldCharType="separate"/>
    </w:r>
    <w:r w:rsidR="000F19E6">
      <w:rPr>
        <w:rFonts w:ascii="Arial" w:eastAsia="Calibri" w:hAnsi="Arial" w:cs="Arial"/>
        <w:noProof/>
        <w:sz w:val="20"/>
        <w:szCs w:val="20"/>
      </w:rPr>
      <w:t>6</w:t>
    </w:r>
    <w:r>
      <w:rPr>
        <w:rFonts w:ascii="Arial" w:eastAsia="Calibri" w:hAnsi="Arial" w:cs="Arial"/>
        <w:sz w:val="20"/>
        <w:szCs w:val="20"/>
      </w:rPr>
      <w:fldChar w:fldCharType="end"/>
    </w:r>
    <w:r>
      <w:rPr>
        <w:rFonts w:ascii="Arial" w:eastAsia="Calibri" w:hAnsi="Arial" w:cs="Arial"/>
        <w:sz w:val="20"/>
        <w:szCs w:val="20"/>
      </w:rPr>
      <w:t xml:space="preserve"> </w:t>
    </w:r>
  </w:p>
  <w:p w:rsidR="00442997" w:rsidRDefault="005E6585">
    <w:pPr>
      <w:spacing w:line="259" w:lineRule="auto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97" w:rsidRDefault="005E6585">
    <w:pPr>
      <w:spacing w:after="158" w:line="259" w:lineRule="auto"/>
      <w:ind w:right="3"/>
      <w:jc w:val="center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Strona </w:t>
    </w:r>
    <w:r>
      <w:rPr>
        <w:rFonts w:ascii="Arial" w:eastAsia="Calibri" w:hAnsi="Arial" w:cs="Arial"/>
        <w:sz w:val="20"/>
        <w:szCs w:val="20"/>
      </w:rPr>
      <w:fldChar w:fldCharType="begin"/>
    </w:r>
    <w:r>
      <w:rPr>
        <w:rFonts w:ascii="Arial" w:eastAsia="Calibri" w:hAnsi="Arial" w:cs="Arial"/>
        <w:sz w:val="20"/>
        <w:szCs w:val="20"/>
      </w:rPr>
      <w:instrText xml:space="preserve"> PAGE </w:instrText>
    </w:r>
    <w:r>
      <w:rPr>
        <w:rFonts w:ascii="Arial" w:eastAsia="Calibri" w:hAnsi="Arial" w:cs="Arial"/>
        <w:sz w:val="20"/>
        <w:szCs w:val="20"/>
      </w:rPr>
      <w:fldChar w:fldCharType="separate"/>
    </w:r>
    <w:r>
      <w:rPr>
        <w:rFonts w:ascii="Arial" w:eastAsia="Calibri" w:hAnsi="Arial" w:cs="Arial"/>
        <w:sz w:val="20"/>
        <w:szCs w:val="20"/>
      </w:rPr>
      <w:t>7</w:t>
    </w:r>
    <w:r>
      <w:rPr>
        <w:rFonts w:ascii="Arial" w:eastAsia="Calibri" w:hAnsi="Arial" w:cs="Arial"/>
        <w:sz w:val="20"/>
        <w:szCs w:val="20"/>
      </w:rPr>
      <w:fldChar w:fldCharType="end"/>
    </w:r>
    <w:r>
      <w:rPr>
        <w:rFonts w:ascii="Arial" w:eastAsia="Calibri" w:hAnsi="Arial" w:cs="Arial"/>
        <w:sz w:val="20"/>
        <w:szCs w:val="20"/>
      </w:rPr>
      <w:t xml:space="preserve"> z </w:t>
    </w:r>
    <w:r>
      <w:rPr>
        <w:rFonts w:ascii="Arial" w:eastAsia="Calibri" w:hAnsi="Arial" w:cs="Arial"/>
        <w:sz w:val="20"/>
        <w:szCs w:val="20"/>
      </w:rPr>
      <w:fldChar w:fldCharType="begin"/>
    </w:r>
    <w:r>
      <w:rPr>
        <w:rFonts w:ascii="Arial" w:eastAsia="Calibri" w:hAnsi="Arial" w:cs="Arial"/>
        <w:sz w:val="20"/>
        <w:szCs w:val="20"/>
      </w:rPr>
      <w:instrText xml:space="preserve"> NUMPAGES </w:instrText>
    </w:r>
    <w:r>
      <w:rPr>
        <w:rFonts w:ascii="Arial" w:eastAsia="Calibri" w:hAnsi="Arial" w:cs="Arial"/>
        <w:sz w:val="20"/>
        <w:szCs w:val="20"/>
      </w:rPr>
      <w:fldChar w:fldCharType="separate"/>
    </w:r>
    <w:r w:rsidR="00EE28B1">
      <w:rPr>
        <w:rFonts w:ascii="Arial" w:eastAsia="Calibri" w:hAnsi="Arial" w:cs="Arial"/>
        <w:noProof/>
        <w:sz w:val="20"/>
        <w:szCs w:val="20"/>
      </w:rPr>
      <w:t>6</w:t>
    </w:r>
    <w:r>
      <w:rPr>
        <w:rFonts w:ascii="Arial" w:eastAsia="Calibri" w:hAnsi="Arial" w:cs="Arial"/>
        <w:sz w:val="20"/>
        <w:szCs w:val="20"/>
      </w:rPr>
      <w:fldChar w:fldCharType="end"/>
    </w:r>
    <w:r>
      <w:rPr>
        <w:rFonts w:ascii="Arial" w:eastAsia="Calibri" w:hAnsi="Arial" w:cs="Arial"/>
        <w:sz w:val="20"/>
        <w:szCs w:val="20"/>
      </w:rPr>
      <w:t xml:space="preserve"> </w:t>
    </w:r>
  </w:p>
  <w:p w:rsidR="00442997" w:rsidRDefault="005E6585">
    <w:pPr>
      <w:spacing w:line="259" w:lineRule="auto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AD" w:rsidRDefault="007C19AD">
      <w:r>
        <w:separator/>
      </w:r>
    </w:p>
  </w:footnote>
  <w:footnote w:type="continuationSeparator" w:id="0">
    <w:p w:rsidR="007C19AD" w:rsidRDefault="007C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97" w:rsidRDefault="005E6585">
    <w:pPr>
      <w:pStyle w:val="Nagwek"/>
      <w:rPr>
        <w:rFonts w:ascii="Arial" w:hAnsi="Arial" w:cs="Arial"/>
        <w:sz w:val="14"/>
        <w:szCs w:val="14"/>
      </w:rPr>
    </w:pPr>
    <w:bookmarkStart w:id="2" w:name="_Hlk101954898"/>
    <w:bookmarkStart w:id="3" w:name="_Hlk101954899"/>
    <w:r>
      <w:rPr>
        <w:rFonts w:ascii="Arial" w:hAnsi="Arial" w:cs="Arial"/>
        <w:sz w:val="20"/>
        <w:szCs w:val="20"/>
      </w:rPr>
      <w:t xml:space="preserve"> </w:t>
    </w:r>
    <w:bookmarkEnd w:id="2"/>
    <w:bookmarkEnd w:id="3"/>
  </w:p>
  <w:p w:rsidR="00442997" w:rsidRDefault="00442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D7A"/>
    <w:multiLevelType w:val="multilevel"/>
    <w:tmpl w:val="79D08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625008"/>
    <w:multiLevelType w:val="multilevel"/>
    <w:tmpl w:val="21F4EB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9B2E7F"/>
    <w:multiLevelType w:val="multilevel"/>
    <w:tmpl w:val="D27A5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FF01A6D"/>
    <w:multiLevelType w:val="multilevel"/>
    <w:tmpl w:val="E93AE4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97"/>
    <w:rsid w:val="000F19E6"/>
    <w:rsid w:val="00245C70"/>
    <w:rsid w:val="0031596C"/>
    <w:rsid w:val="00343ABB"/>
    <w:rsid w:val="00442997"/>
    <w:rsid w:val="005E6585"/>
    <w:rsid w:val="00683D12"/>
    <w:rsid w:val="007C19AD"/>
    <w:rsid w:val="00AB533F"/>
    <w:rsid w:val="00AE4F16"/>
    <w:rsid w:val="00C51A29"/>
    <w:rsid w:val="00D1766D"/>
    <w:rsid w:val="00DC7704"/>
    <w:rsid w:val="00E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F35A-7E95-4669-9AF4-6670839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FE36AD"/>
    <w:pPr>
      <w:spacing w:line="312" w:lineRule="auto"/>
      <w:jc w:val="center"/>
      <w:outlineLvl w:val="0"/>
    </w:pPr>
    <w:rPr>
      <w:b/>
      <w:bCs/>
      <w:caps/>
      <w:kern w:val="2"/>
    </w:rPr>
  </w:style>
  <w:style w:type="paragraph" w:styleId="Nagwek2">
    <w:name w:val="heading 2"/>
    <w:basedOn w:val="Normalny"/>
    <w:link w:val="Nagwek2Znak"/>
    <w:autoRedefine/>
    <w:uiPriority w:val="9"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E36AD"/>
    <w:rPr>
      <w:b/>
      <w:bCs/>
      <w:caps/>
      <w:kern w:val="2"/>
      <w:sz w:val="24"/>
      <w:szCs w:val="24"/>
    </w:rPr>
  </w:style>
  <w:style w:type="character" w:customStyle="1" w:styleId="Nagwek2Znak">
    <w:name w:val="Nagłówek 2 Znak"/>
    <w:link w:val="Nagwek2"/>
    <w:qFormat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qFormat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A82F39"/>
    <w:rPr>
      <w:rFonts w:ascii="Arial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A82F39"/>
    <w:rPr>
      <w:rFonts w:cs="Arial"/>
      <w:b/>
      <w:bCs/>
      <w:kern w:val="2"/>
      <w:sz w:val="36"/>
      <w:szCs w:val="32"/>
    </w:rPr>
  </w:style>
  <w:style w:type="character" w:customStyle="1" w:styleId="AkapitzlistZnak">
    <w:name w:val="Akapit z listą Znak"/>
    <w:link w:val="Akapitzlist"/>
    <w:uiPriority w:val="99"/>
    <w:qFormat/>
    <w:locked/>
    <w:rsid w:val="00A82F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A4C4F"/>
    <w:rPr>
      <w:rFonts w:ascii="Arial" w:hAnsi="Arial"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A4C4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7E1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7E1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7E15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A41CB"/>
    <w:rPr>
      <w:rFonts w:ascii="Calibri" w:eastAsia="Calibri" w:hAnsi="Calibri"/>
      <w:lang w:eastAsia="en-US"/>
    </w:rPr>
  </w:style>
  <w:style w:type="character" w:customStyle="1" w:styleId="Znakiprzypiswdolnych">
    <w:name w:val="Znaki przypisów dolnych"/>
    <w:qFormat/>
    <w:rsid w:val="007A41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sid w:val="00DE364D"/>
    <w:rPr>
      <w:color w:val="0563C1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50530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616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272C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A4C4F"/>
    <w:pPr>
      <w:spacing w:after="120"/>
      <w:jc w:val="both"/>
    </w:pPr>
    <w:rPr>
      <w:rFonts w:ascii="Arial" w:hAnsi="Arial"/>
      <w:szCs w:val="20"/>
      <w:lang w:eastAsia="ar-SA"/>
    </w:rPr>
  </w:style>
  <w:style w:type="paragraph" w:styleId="Lista">
    <w:name w:val="List"/>
    <w:basedOn w:val="Normalny"/>
    <w:semiHidden/>
    <w:unhideWhenUsed/>
    <w:rsid w:val="000A4C4F"/>
    <w:pPr>
      <w:overflowPunct w:val="0"/>
      <w:ind w:left="283" w:hanging="283"/>
    </w:pPr>
    <w:rPr>
      <w:rFonts w:eastAsia="Calibri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uiPriority w:val="1"/>
    <w:qFormat/>
    <w:rsid w:val="00A82F39"/>
    <w:pPr>
      <w:spacing w:before="240" w:after="60"/>
      <w:jc w:val="center"/>
      <w:outlineLvl w:val="0"/>
    </w:pPr>
    <w:rPr>
      <w:rFonts w:cs="Arial"/>
      <w:b/>
      <w:bCs/>
      <w:kern w:val="2"/>
      <w:sz w:val="36"/>
      <w:szCs w:val="32"/>
    </w:rPr>
  </w:style>
  <w:style w:type="paragraph" w:styleId="Akapitzlist">
    <w:name w:val="List Paragraph"/>
    <w:basedOn w:val="Normalny"/>
    <w:link w:val="AkapitzlistZnak"/>
    <w:qFormat/>
    <w:rsid w:val="00A82F39"/>
    <w:pPr>
      <w:ind w:left="708"/>
    </w:pPr>
  </w:style>
  <w:style w:type="paragraph" w:styleId="Tekstpodstawowy3">
    <w:name w:val="Body Text 3"/>
    <w:basedOn w:val="Normalny"/>
    <w:link w:val="Tekstpodstawowy3Znak"/>
    <w:unhideWhenUsed/>
    <w:qFormat/>
    <w:rsid w:val="000A4C4F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paragraph" w:customStyle="1" w:styleId="ZnakZnak1Znak">
    <w:name w:val="Znak Znak1 Znak"/>
    <w:basedOn w:val="Normalny"/>
    <w:qFormat/>
    <w:rsid w:val="00DE364D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3505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350530"/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F272C5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E03A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E5139"/>
    <w:rPr>
      <w:sz w:val="24"/>
      <w:szCs w:val="24"/>
    </w:rPr>
  </w:style>
  <w:style w:type="table" w:customStyle="1" w:styleId="TableGrid">
    <w:name w:val="TableGrid"/>
    <w:rsid w:val="00D348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27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616B-10A7-4220-8BF1-E0BD9153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Turczyk-Mroczka</dc:creator>
  <dc:description/>
  <cp:lastModifiedBy>Ewelina Turczyk-Mroczka</cp:lastModifiedBy>
  <cp:revision>8</cp:revision>
  <cp:lastPrinted>2023-02-01T08:11:00Z</cp:lastPrinted>
  <dcterms:created xsi:type="dcterms:W3CDTF">2023-02-01T06:27:00Z</dcterms:created>
  <dcterms:modified xsi:type="dcterms:W3CDTF">2023-02-01T10:50:00Z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27b77-6402-44a8-bb92-e6a893526a1f_ActionId">
    <vt:lpwstr>5e42c4a5-e9c2-4c71-82bb-e76aecfbe23d</vt:lpwstr>
  </property>
  <property fmtid="{D5CDD505-2E9C-101B-9397-08002B2CF9AE}" pid="3" name="MSIP_Label_1a027b77-6402-44a8-bb92-e6a893526a1f_ContentBits">
    <vt:lpwstr>0</vt:lpwstr>
  </property>
  <property fmtid="{D5CDD505-2E9C-101B-9397-08002B2CF9AE}" pid="4" name="MSIP_Label_1a027b77-6402-44a8-bb92-e6a893526a1f_Enabled">
    <vt:lpwstr>true</vt:lpwstr>
  </property>
  <property fmtid="{D5CDD505-2E9C-101B-9397-08002B2CF9AE}" pid="5" name="MSIP_Label_1a027b77-6402-44a8-bb92-e6a893526a1f_Method">
    <vt:lpwstr>Standard</vt:lpwstr>
  </property>
  <property fmtid="{D5CDD505-2E9C-101B-9397-08002B2CF9AE}" pid="6" name="MSIP_Label_1a027b77-6402-44a8-bb92-e6a893526a1f_Name">
    <vt:lpwstr>General Not Encrypted Republished</vt:lpwstr>
  </property>
  <property fmtid="{D5CDD505-2E9C-101B-9397-08002B2CF9AE}" pid="7" name="MSIP_Label_1a027b77-6402-44a8-bb92-e6a893526a1f_SetDate">
    <vt:lpwstr>2022-11-24T08:48:40Z</vt:lpwstr>
  </property>
  <property fmtid="{D5CDD505-2E9C-101B-9397-08002B2CF9AE}" pid="8" name="MSIP_Label_1a027b77-6402-44a8-bb92-e6a893526a1f_SiteId">
    <vt:lpwstr>6eec918b-f654-44a7-ac1a-abfdb64e694e</vt:lpwstr>
  </property>
</Properties>
</file>