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194ABEC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727860">
        <w:rPr>
          <w:rFonts w:eastAsia="Times New Roman"/>
          <w:b/>
          <w:color w:val="1F497D" w:themeColor="text2"/>
          <w:sz w:val="16"/>
          <w:szCs w:val="24"/>
          <w:lang w:eastAsia="x-none"/>
        </w:rPr>
        <w:t>14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449B6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3016D99" w:rsidR="00AC3D9E" w:rsidRPr="00727860" w:rsidRDefault="005F2FB5" w:rsidP="0072786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7278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ROIX.271.14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449B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27860" w:rsidRPr="0072786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„Poprawa jakości wody dla mieszkańców Gminy Przeworsk”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0E7554D6" w14:textId="4F2CE5D8" w:rsidR="00AC3D9E" w:rsidRPr="00727860" w:rsidRDefault="00AC3D9E" w:rsidP="008449B6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727860">
              <w:rPr>
                <w:rFonts w:ascii="Arial" w:hAnsi="Arial" w:cs="Arial"/>
                <w:b/>
                <w:iCs/>
              </w:rPr>
              <w:t xml:space="preserve">Część I  - </w:t>
            </w:r>
            <w:r w:rsidR="00727860" w:rsidRPr="00727860">
              <w:rPr>
                <w:rFonts w:ascii="Arial" w:hAnsi="Arial" w:cs="Arial"/>
                <w:b/>
                <w:iCs/>
              </w:rPr>
              <w:t xml:space="preserve">Budowa Przyłączy kablowych </w:t>
            </w:r>
            <w:proofErr w:type="spellStart"/>
            <w:r w:rsidR="00727860" w:rsidRPr="00727860">
              <w:rPr>
                <w:rFonts w:ascii="Arial" w:hAnsi="Arial" w:cs="Arial"/>
                <w:b/>
                <w:iCs/>
              </w:rPr>
              <w:t>Nn</w:t>
            </w:r>
            <w:proofErr w:type="spellEnd"/>
            <w:r w:rsidR="00727860" w:rsidRPr="00727860">
              <w:rPr>
                <w:rFonts w:ascii="Arial" w:hAnsi="Arial" w:cs="Arial"/>
                <w:b/>
                <w:iCs/>
              </w:rPr>
              <w:t xml:space="preserve"> dla zasilania oraz regeneracja studni głębinowych S1 i S2 w m. Rozbórz wraz z budową 2 </w:t>
            </w:r>
            <w:proofErr w:type="spellStart"/>
            <w:r w:rsidR="00727860" w:rsidRPr="00727860">
              <w:rPr>
                <w:rFonts w:ascii="Arial" w:hAnsi="Arial" w:cs="Arial"/>
                <w:b/>
                <w:iCs/>
              </w:rPr>
              <w:t>minifarm</w:t>
            </w:r>
            <w:proofErr w:type="spellEnd"/>
            <w:r w:rsidR="00727860" w:rsidRPr="00727860">
              <w:rPr>
                <w:rFonts w:ascii="Arial" w:hAnsi="Arial" w:cs="Arial"/>
                <w:b/>
                <w:iCs/>
              </w:rPr>
              <w:t xml:space="preserve"> o mocy 10 </w:t>
            </w:r>
            <w:proofErr w:type="spellStart"/>
            <w:r w:rsidR="00727860" w:rsidRPr="00727860">
              <w:rPr>
                <w:rFonts w:ascii="Arial" w:hAnsi="Arial" w:cs="Arial"/>
                <w:b/>
                <w:iCs/>
              </w:rPr>
              <w:t>kWp</w:t>
            </w:r>
            <w:proofErr w:type="spellEnd"/>
            <w:r w:rsidR="00727860" w:rsidRPr="00727860">
              <w:rPr>
                <w:rFonts w:ascii="Arial" w:hAnsi="Arial" w:cs="Arial"/>
                <w:b/>
                <w:iCs/>
              </w:rPr>
              <w:t xml:space="preserve"> oraz 2 banków energii o pojemności 10 </w:t>
            </w:r>
            <w:proofErr w:type="spellStart"/>
            <w:r w:rsidR="00727860" w:rsidRPr="00727860">
              <w:rPr>
                <w:rFonts w:ascii="Arial" w:hAnsi="Arial" w:cs="Arial"/>
                <w:b/>
                <w:iCs/>
              </w:rPr>
              <w:t>Kw</w:t>
            </w:r>
            <w:proofErr w:type="spellEnd"/>
            <w:r w:rsidR="00727860" w:rsidRPr="00727860">
              <w:rPr>
                <w:rFonts w:ascii="Arial" w:hAnsi="Arial" w:cs="Arial"/>
                <w:b/>
                <w:iCs/>
              </w:rPr>
              <w:t xml:space="preserve"> każdy</w:t>
            </w:r>
          </w:p>
          <w:p w14:paraId="1DEA5ED9" w14:textId="3084B67D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45869C09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08D0741" w14:textId="6A03D83F" w:rsidR="0089114A" w:rsidRPr="0089114A" w:rsidRDefault="0089114A" w:rsidP="0089114A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b/>
          <w:i/>
          <w:iCs/>
          <w:sz w:val="20"/>
          <w:szCs w:val="20"/>
          <w:lang w:eastAsia="ar-SA"/>
        </w:rPr>
        <w:t>Cena oferty została ok</w:t>
      </w:r>
      <w:r w:rsidRPr="0089114A">
        <w:rPr>
          <w:rFonts w:ascii="Arial" w:hAnsi="Arial" w:cs="Arial"/>
          <w:b/>
          <w:i/>
          <w:iCs/>
          <w:sz w:val="20"/>
          <w:szCs w:val="20"/>
          <w:lang w:eastAsia="ar-SA"/>
        </w:rPr>
        <w:t>reślona na podstawie kosztorysu ofertowego</w:t>
      </w:r>
      <w:r w:rsidRPr="0089114A">
        <w:rPr>
          <w:rFonts w:ascii="Arial" w:hAnsi="Arial" w:cs="Arial"/>
          <w:b/>
          <w:i/>
          <w:iCs/>
          <w:sz w:val="20"/>
          <w:szCs w:val="20"/>
          <w:lang w:eastAsia="ar-SA"/>
        </w:rPr>
        <w:t xml:space="preserve"> w oparciu o niżej wy</w:t>
      </w:r>
      <w:r>
        <w:rPr>
          <w:rFonts w:ascii="Arial" w:hAnsi="Arial" w:cs="Arial"/>
          <w:b/>
          <w:i/>
          <w:iCs/>
          <w:sz w:val="20"/>
          <w:szCs w:val="20"/>
          <w:lang w:eastAsia="ar-SA"/>
        </w:rPr>
        <w:t>mienione  czynniki cenotwórcze:</w:t>
      </w:r>
    </w:p>
    <w:p w14:paraId="1D5C35B6" w14:textId="77777777" w:rsidR="0089114A" w:rsidRPr="0089114A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>1) stawka roboczogodziny: ….…..zł/r-g,</w:t>
      </w: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ab/>
      </w:r>
    </w:p>
    <w:p w14:paraId="75854C93" w14:textId="77777777" w:rsidR="0089114A" w:rsidRPr="0089114A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15D78BDB" w14:textId="77777777" w:rsidR="0089114A" w:rsidRPr="0089114A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1D0C21" w14:textId="77777777" w:rsidR="0089114A" w:rsidRPr="0089114A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>4) zysk …..…. % (do R+S+KOR+KOS)</w:t>
      </w:r>
    </w:p>
    <w:p w14:paraId="4D754D4A" w14:textId="3A6710FA" w:rsidR="00F51315" w:rsidRPr="00850808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9114A">
        <w:rPr>
          <w:rFonts w:ascii="Arial" w:hAnsi="Arial" w:cs="Arial"/>
          <w:i/>
          <w:iCs/>
          <w:sz w:val="20"/>
          <w:szCs w:val="20"/>
          <w:lang w:eastAsia="ar-SA"/>
        </w:rPr>
        <w:t>5) podatek VAT: …… %.</w:t>
      </w: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AC3D9E" w:rsidRPr="00AC3D9E" w14:paraId="428C8FD6" w14:textId="77777777" w:rsidTr="00025B4A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66E64A2C" w14:textId="4E220864" w:rsidR="008449B6" w:rsidRPr="00727860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</w:rPr>
            </w:pPr>
            <w:r w:rsidRPr="00727860">
              <w:rPr>
                <w:rFonts w:ascii="Arial" w:hAnsi="Arial" w:cs="Arial"/>
                <w:b/>
                <w:iCs/>
              </w:rPr>
              <w:t xml:space="preserve">Część II  - </w:t>
            </w:r>
            <w:r w:rsidR="00727860" w:rsidRPr="00727860">
              <w:rPr>
                <w:rFonts w:ascii="Arial" w:hAnsi="Arial" w:cs="Arial"/>
                <w:b/>
                <w:iCs/>
              </w:rPr>
              <w:t xml:space="preserve">Rozbudowa, nadbudowa i przebudowa SUW Rozbórz wraz z budową farmy fotowoltaicznej 49,9 </w:t>
            </w:r>
            <w:proofErr w:type="spellStart"/>
            <w:r w:rsidR="00727860" w:rsidRPr="00727860">
              <w:rPr>
                <w:rFonts w:ascii="Arial" w:hAnsi="Arial" w:cs="Arial"/>
                <w:b/>
                <w:iCs/>
              </w:rPr>
              <w:t>Kw</w:t>
            </w:r>
            <w:proofErr w:type="spellEnd"/>
            <w:r w:rsidR="00727860" w:rsidRPr="00727860">
              <w:rPr>
                <w:rFonts w:ascii="Arial" w:hAnsi="Arial" w:cs="Arial"/>
                <w:b/>
                <w:iCs/>
              </w:rPr>
              <w:t xml:space="preserve"> i magazynem energii</w:t>
            </w:r>
          </w:p>
          <w:p w14:paraId="3EA45CE5" w14:textId="2BB87A43" w:rsidR="00AC3D9E" w:rsidRPr="008017B8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AC3D9E" w:rsidRPr="00AC3D9E" w14:paraId="2E8F10CF" w14:textId="77777777" w:rsidTr="00025B4A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7E45B4B" w14:textId="7D1F5346" w:rsidR="00AC3D9E" w:rsidRPr="00AC3D9E" w:rsidRDefault="00AC3D9E" w:rsidP="00AC3D9E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AC3D9E" w:rsidRPr="00AC3D9E" w14:paraId="58333071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849065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15A43934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4D287487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ED653DD" w14:textId="76A439EB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WARTOŚC PODATKU VAT 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3F5C25F1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309A0E1E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40B410D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</w:rPr>
              <w:t>CENA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ECB59AD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A3C2667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AC3D9E" w:rsidRPr="00AC3D9E" w14:paraId="7A3F9198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C63072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5E163690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1538128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232B5AD9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szCs w:val="16"/>
              </w:rPr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1490B33" w14:textId="77777777" w:rsidR="00AC3D9E" w:rsidRPr="00AC3D9E" w:rsidRDefault="00AC3D9E" w:rsidP="00AC3D9E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AC3D9E" w:rsidRPr="00AC3D9E" w14:paraId="5EA21028" w14:textId="77777777" w:rsidTr="00025B4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73C16DE6" w14:textId="77777777" w:rsidR="00AC3D9E" w:rsidRPr="00AC3D9E" w:rsidRDefault="00AC3D9E" w:rsidP="00AC3D9E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0A52B543" w14:textId="77777777" w:rsid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5E98D5FB" w14:textId="298CCEA8" w:rsidR="0089114A" w:rsidRPr="00FA44F8" w:rsidRDefault="0089114A" w:rsidP="0089114A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305BD2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bookmarkStart w:id="1" w:name="_GoBack"/>
      <w:bookmarkEnd w:id="1"/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2855DBC5" w14:textId="77777777" w:rsidR="0089114A" w:rsidRPr="00FA44F8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0DCE964" w14:textId="77777777" w:rsidR="0089114A" w:rsidRPr="00FA44F8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</w:p>
    <w:p w14:paraId="35F2461E" w14:textId="77777777" w:rsidR="0089114A" w:rsidRPr="00FA44F8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</w:p>
    <w:p w14:paraId="2A78CDDC" w14:textId="77777777" w:rsidR="0089114A" w:rsidRPr="00FA44F8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</w:t>
      </w:r>
    </w:p>
    <w:p w14:paraId="777E3182" w14:textId="77777777" w:rsidR="0089114A" w:rsidRDefault="0089114A" w:rsidP="0089114A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 xml:space="preserve">5)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podatek VAT: ……</w:t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 xml:space="preserve">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CD09C52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727860">
        <w:rPr>
          <w:rFonts w:ascii="Arial" w:hAnsi="Arial" w:cs="Arial"/>
          <w:b/>
          <w:sz w:val="18"/>
          <w:szCs w:val="20"/>
          <w:u w:val="single"/>
        </w:rPr>
        <w:t>14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536EC3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0AC160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4D55E4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34F8B86F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="009213AC">
        <w:rPr>
          <w:rFonts w:ascii="Arial" w:hAnsi="Arial" w:cs="Arial"/>
          <w:b/>
          <w:bCs/>
          <w:kern w:val="32"/>
        </w:rPr>
        <w:t xml:space="preserve"> - CZĘŚĆ 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  <w:r w:rsidR="009213AC">
        <w:rPr>
          <w:rFonts w:ascii="Arial" w:hAnsi="Arial" w:cs="Arial"/>
          <w:i/>
          <w:iCs/>
          <w:kern w:val="32"/>
          <w:sz w:val="20"/>
        </w:rPr>
        <w:t xml:space="preserve"> 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6F4CB5B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082A3B9A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73D38BE" w14:textId="442E55DA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>PODWYKONAWCY</w:t>
      </w:r>
      <w:r>
        <w:rPr>
          <w:rFonts w:ascii="Arial" w:hAnsi="Arial" w:cs="Arial"/>
          <w:b/>
          <w:bCs/>
          <w:kern w:val="32"/>
        </w:rPr>
        <w:t xml:space="preserve"> -</w:t>
      </w:r>
      <w:r w:rsidRPr="00FE2C08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CZĘŚĆ II</w:t>
      </w:r>
      <w:r w:rsidRPr="009213AC">
        <w:rPr>
          <w:rFonts w:ascii="Arial" w:hAnsi="Arial" w:cs="Arial"/>
          <w:b/>
          <w:bCs/>
          <w:i/>
          <w:iCs/>
          <w:kern w:val="32"/>
        </w:rPr>
        <w:t xml:space="preserve">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172CD649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62B6BAE5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42C8C117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2E2561FF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6B2D454E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52875BF8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2AA45DA8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7EA9C8C0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E01A6D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245AFF0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67B7855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E6748D9" w14:textId="44724CB3" w:rsidR="00522A5A" w:rsidRPr="009213AC" w:rsidRDefault="00522A5A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  <w:r w:rsidR="009213AC">
        <w:rPr>
          <w:rFonts w:cs="Calibri"/>
          <w:b/>
          <w:sz w:val="24"/>
        </w:rPr>
        <w:t xml:space="preserve"> - CZĘŚĆ I </w:t>
      </w:r>
      <w:r w:rsidR="009213AC" w:rsidRPr="009213AC">
        <w:rPr>
          <w:rFonts w:ascii="Arial" w:hAnsi="Arial" w:cs="Arial"/>
          <w:sz w:val="20"/>
          <w:szCs w:val="20"/>
        </w:rPr>
        <w:t>(</w:t>
      </w:r>
      <w:r w:rsidR="009213AC"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Default="005F2FB5" w:rsidP="005F2FB5">
      <w:pPr>
        <w:rPr>
          <w:rFonts w:ascii="Arial" w:hAnsi="Arial" w:cs="Arial"/>
          <w:sz w:val="8"/>
          <w:szCs w:val="8"/>
        </w:rPr>
      </w:pPr>
    </w:p>
    <w:p w14:paraId="61B828BE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70FFE054" w14:textId="0DE7A10D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0143BF7E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F88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08B8D6A0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E89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BF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F7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718463F7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E651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8AFD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FBE4D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21A5EDB7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C51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42DB069E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5CEB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3102A29A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D24B1E8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E17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lastRenderedPageBreak/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3CE0D" w14:textId="77777777" w:rsidR="007455A3" w:rsidRDefault="007455A3" w:rsidP="00052EF0">
      <w:pPr>
        <w:spacing w:after="0" w:line="240" w:lineRule="auto"/>
      </w:pPr>
      <w:r>
        <w:separator/>
      </w:r>
    </w:p>
  </w:endnote>
  <w:endnote w:type="continuationSeparator" w:id="0">
    <w:p w14:paraId="67A1D734" w14:textId="77777777" w:rsidR="007455A3" w:rsidRDefault="007455A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B877" w14:textId="77777777" w:rsidR="007455A3" w:rsidRDefault="007455A3" w:rsidP="00052EF0">
      <w:pPr>
        <w:spacing w:after="0" w:line="240" w:lineRule="auto"/>
      </w:pPr>
      <w:r>
        <w:separator/>
      </w:r>
    </w:p>
  </w:footnote>
  <w:footnote w:type="continuationSeparator" w:id="0">
    <w:p w14:paraId="73511D1E" w14:textId="77777777" w:rsidR="007455A3" w:rsidRDefault="007455A3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29BD4780" w:rsidR="00516C88" w:rsidRDefault="00727860" w:rsidP="00516C88">
    <w:pPr>
      <w:pStyle w:val="Nagwek"/>
      <w:jc w:val="right"/>
    </w:pPr>
    <w:r w:rsidRPr="00727860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D6CB9A3" wp14:editId="016DDBA4">
          <wp:extent cx="5760720" cy="473757"/>
          <wp:effectExtent l="0" t="0" r="0" b="2540"/>
          <wp:docPr id="1" name="Obraz 1" descr="C:\Users\uzytkownik\Desktop\przetarg SUW Rozborz 2024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ytkownik\Desktop\przetarg SUW Rozborz 2024\pasek 21-27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3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0CB5"/>
    <w:rsid w:val="00270DE0"/>
    <w:rsid w:val="00271EA9"/>
    <w:rsid w:val="00273D45"/>
    <w:rsid w:val="002A0A2B"/>
    <w:rsid w:val="002F7533"/>
    <w:rsid w:val="00300465"/>
    <w:rsid w:val="0030495F"/>
    <w:rsid w:val="00305BD2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36EC3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27860"/>
    <w:rsid w:val="00736C8F"/>
    <w:rsid w:val="007455A3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368F4"/>
    <w:rsid w:val="00840D47"/>
    <w:rsid w:val="008449B6"/>
    <w:rsid w:val="00846FC0"/>
    <w:rsid w:val="00850808"/>
    <w:rsid w:val="00872924"/>
    <w:rsid w:val="0089114A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B03A0"/>
    <w:rsid w:val="00EC5348"/>
    <w:rsid w:val="00EC5F82"/>
    <w:rsid w:val="00ED6243"/>
    <w:rsid w:val="00EE0E42"/>
    <w:rsid w:val="00EE5AD1"/>
    <w:rsid w:val="00EF70CC"/>
    <w:rsid w:val="00F346AB"/>
    <w:rsid w:val="00F42035"/>
    <w:rsid w:val="00F5131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2A5C-4810-4246-A6A6-72C8832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6</cp:revision>
  <cp:lastPrinted>2024-08-28T13:51:00Z</cp:lastPrinted>
  <dcterms:created xsi:type="dcterms:W3CDTF">2024-07-11T12:38:00Z</dcterms:created>
  <dcterms:modified xsi:type="dcterms:W3CDTF">2024-08-28T13:51:00Z</dcterms:modified>
</cp:coreProperties>
</file>