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06"/>
        <w:gridCol w:w="3874"/>
      </w:tblGrid>
      <w:tr w:rsidR="002E3E88" w:rsidRPr="00C849D4" w:rsidTr="002E3E88">
        <w:tc>
          <w:tcPr>
            <w:tcW w:w="3492" w:type="dxa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2E3E88">
        <w:tc>
          <w:tcPr>
            <w:tcW w:w="9288" w:type="dxa"/>
            <w:gridSpan w:val="3"/>
          </w:tcPr>
          <w:p w:rsidR="0099035D" w:rsidRPr="00297AA6" w:rsidRDefault="0099035D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A6" w:rsidRPr="00297AA6" w:rsidRDefault="00297AA6" w:rsidP="00297AA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bez negocjacji na dostawę sprzętu medycznego: </w:t>
            </w:r>
            <w:proofErr w:type="spellStart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>wideolaryngoskopu</w:t>
            </w:r>
            <w:proofErr w:type="spellEnd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 z wyposażeniem – 1 </w:t>
            </w:r>
            <w:proofErr w:type="spellStart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297AA6">
              <w:rPr>
                <w:rFonts w:ascii="Times New Roman" w:hAnsi="Times New Roman" w:cs="Times New Roman"/>
                <w:sz w:val="20"/>
                <w:szCs w:val="20"/>
              </w:rPr>
              <w:t xml:space="preserve"> oraz stołu operacyjnego urologicznego – 1kpl,</w:t>
            </w:r>
          </w:p>
          <w:p w:rsidR="00297AA6" w:rsidRPr="00297AA6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sprawy: 4 WSzKzP.SZP.2612.54.2024</w:t>
            </w:r>
          </w:p>
          <w:p w:rsidR="00297AA6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AA6" w:rsidRPr="00C849D4" w:rsidRDefault="00297AA6" w:rsidP="00297AA6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Pr="0099035D" w:rsidRDefault="00CE2C65" w:rsidP="00CE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03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FORMULARZ CENOWY</w:t>
            </w:r>
          </w:p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C65" w:rsidRPr="00C849D4" w:rsidTr="002E3E88">
        <w:tc>
          <w:tcPr>
            <w:tcW w:w="9288" w:type="dxa"/>
            <w:gridSpan w:val="3"/>
          </w:tcPr>
          <w:p w:rsidR="00CE2C65" w:rsidRDefault="00CE2C65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49D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849D4">
              <w:rPr>
                <w:rFonts w:ascii="Times New Roman" w:hAnsi="Times New Roman" w:cs="Times New Roman"/>
                <w:iCs/>
                <w:sz w:val="20"/>
                <w:szCs w:val="20"/>
              </w:rPr>
              <w:t>enę brutto (zł), będącą podstawą do wyliczenia punktów za cenę otrzymujemy ze wzoru: Wartość jednostkowa netto (zł) razy Ilość  – daje Wartość netto (zł), z której to wartości liczymy podatek VAT i po dodaniu podatku VAT do wartości netto otrzymujemy Cenę brutto (zł).</w:t>
            </w:r>
          </w:p>
          <w:p w:rsidR="00297AA6" w:rsidRDefault="00297AA6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3057"/>
              <w:gridCol w:w="832"/>
              <w:gridCol w:w="1106"/>
              <w:gridCol w:w="1246"/>
              <w:gridCol w:w="692"/>
              <w:gridCol w:w="1240"/>
            </w:tblGrid>
            <w:tr w:rsidR="00753369" w:rsidRPr="00E447ED" w:rsidTr="00753369">
              <w:trPr>
                <w:trHeight w:val="835"/>
              </w:trPr>
              <w:tc>
                <w:tcPr>
                  <w:tcW w:w="381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728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470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Ilość [</w:t>
                  </w:r>
                  <w:proofErr w:type="spellStart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.]</w:t>
                  </w:r>
                </w:p>
              </w:tc>
              <w:tc>
                <w:tcPr>
                  <w:tcW w:w="625" w:type="pct"/>
                  <w:shd w:val="clear" w:color="000000" w:fill="C6EFCE"/>
                  <w:vAlign w:val="center"/>
                  <w:hideMark/>
                </w:tcPr>
                <w:p w:rsidR="00297AA6" w:rsidRPr="00E447ED" w:rsidRDefault="00753369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wartość</w:t>
                  </w:r>
                  <w:r w:rsidR="00297AA6"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 xml:space="preserve"> netto /</w:t>
                  </w:r>
                  <w:proofErr w:type="spellStart"/>
                  <w:r w:rsidR="00297AA6"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</w:p>
              </w:tc>
              <w:tc>
                <w:tcPr>
                  <w:tcW w:w="704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suma netto [zł]</w:t>
                  </w:r>
                </w:p>
              </w:tc>
              <w:tc>
                <w:tcPr>
                  <w:tcW w:w="391" w:type="pct"/>
                  <w:shd w:val="clear" w:color="000000" w:fill="C6EFCE"/>
                  <w:vAlign w:val="center"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VAT</w:t>
                  </w:r>
                  <w:r>
                    <w:rPr>
                      <w:rStyle w:val="Odwoanieprzypisudolnego"/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footnoteReference w:id="1"/>
                  </w:r>
                </w:p>
              </w:tc>
              <w:tc>
                <w:tcPr>
                  <w:tcW w:w="701" w:type="pct"/>
                  <w:shd w:val="clear" w:color="000000" w:fill="C6EFCE"/>
                  <w:vAlign w:val="center"/>
                  <w:hideMark/>
                </w:tcPr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suma brutto</w:t>
                  </w:r>
                </w:p>
                <w:p w:rsidR="00297AA6" w:rsidRPr="00E447ED" w:rsidRDefault="00297AA6" w:rsidP="00297A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[zł]</w:t>
                  </w: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Pakiet nr 1</w:t>
                  </w:r>
                </w:p>
              </w:tc>
            </w:tr>
            <w:tr w:rsidR="00753369" w:rsidRPr="00E447ED" w:rsidTr="00753369">
              <w:trPr>
                <w:trHeight w:val="20"/>
              </w:trPr>
              <w:tc>
                <w:tcPr>
                  <w:tcW w:w="38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728" w:type="pct"/>
                </w:tcPr>
                <w:p w:rsidR="00753369" w:rsidRPr="008C33F7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deolaryngoskop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z wyposażeniem 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753369" w:rsidRPr="003450DA" w:rsidRDefault="00753369" w:rsidP="00753369">
                  <w:pPr>
                    <w:spacing w:before="120" w:after="120"/>
                    <w:jc w:val="center"/>
                    <w:rPr>
                      <w:sz w:val="20"/>
                      <w:szCs w:val="20"/>
                    </w:rPr>
                  </w:pPr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 </w:t>
                  </w: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3204" w:type="pct"/>
                  <w:gridSpan w:val="4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Pakiet nr 1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5000" w:type="pct"/>
                  <w:gridSpan w:val="7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Pakiet nr 2</w:t>
                  </w:r>
                </w:p>
              </w:tc>
            </w:tr>
            <w:tr w:rsidR="00753369" w:rsidRPr="00E447ED" w:rsidTr="00753369">
              <w:trPr>
                <w:trHeight w:val="20"/>
              </w:trPr>
              <w:tc>
                <w:tcPr>
                  <w:tcW w:w="38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E447E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728" w:type="pct"/>
                </w:tcPr>
                <w:p w:rsidR="00753369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Stół operacyjny urologiczny</w:t>
                  </w:r>
                </w:p>
                <w:p w:rsidR="00753369" w:rsidRPr="008C33F7" w:rsidRDefault="00753369" w:rsidP="00753369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753369" w:rsidRPr="00E33EC1" w:rsidRDefault="00753369" w:rsidP="00753369">
                  <w:pPr>
                    <w:suppressAutoHyphens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kern w:val="1"/>
                      <w:sz w:val="20"/>
                      <w:szCs w:val="20"/>
                      <w:lang w:eastAsia="ar-SA"/>
                    </w:rPr>
                  </w:pPr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1 </w:t>
                  </w:r>
                  <w:proofErr w:type="spellStart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kpl</w:t>
                  </w:r>
                  <w:proofErr w:type="spellEnd"/>
                  <w:r w:rsidRPr="008C33F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625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753369" w:rsidRPr="00E447ED" w:rsidRDefault="00753369" w:rsidP="00753369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97AA6" w:rsidRPr="00E447ED" w:rsidTr="00753369">
              <w:trPr>
                <w:trHeight w:val="20"/>
              </w:trPr>
              <w:tc>
                <w:tcPr>
                  <w:tcW w:w="3204" w:type="pct"/>
                  <w:gridSpan w:val="4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Pakiet nr 2</w:t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vAlign w:val="center"/>
                </w:tcPr>
                <w:p w:rsidR="00297AA6" w:rsidRPr="00E447ED" w:rsidRDefault="00297AA6" w:rsidP="00297AA6">
                  <w:pPr>
                    <w:spacing w:before="120"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97AA6" w:rsidRDefault="00297AA6" w:rsidP="00CE2C6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37F51" w:rsidRDefault="00D37F51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36F" w:rsidRDefault="0029736F" w:rsidP="00CE2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29736F" w:rsidRPr="0029736F" w:rsidTr="0029736F">
              <w:tc>
                <w:tcPr>
                  <w:tcW w:w="5000" w:type="pct"/>
                </w:tcPr>
                <w:p w:rsid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97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PARAMETRY TECHNICZNE</w:t>
                  </w:r>
                </w:p>
                <w:p w:rsidR="00753369" w:rsidRDefault="00753369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753369" w:rsidRDefault="00753369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29736F" w:rsidRPr="0029736F" w:rsidRDefault="0029736F" w:rsidP="00CE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 xml:space="preserve">Pakiet 1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Wideolaryngoskop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 xml:space="preserve"> z wyposażeniem – 1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kpl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  <w:t>.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u w:val="single"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Wykonawca: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Nazwa i typ: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Producent/ Kraj 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  <w:p w:rsidR="00753369" w:rsidRP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Rok produkcji :</w:t>
            </w:r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ab/>
              <w:t xml:space="preserve">sprzęt fabrycznie nowy, nieużywany, </w:t>
            </w:r>
            <w:proofErr w:type="spellStart"/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>nierekondycjonowany</w:t>
            </w:r>
            <w:proofErr w:type="spellEnd"/>
            <w:r w:rsidRPr="00753369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, nie powystawowy / rok produkcji </w:t>
            </w:r>
            <w:r w:rsidR="00B104B0" w:rsidRPr="00B104B0"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  <w:t xml:space="preserve">nie wcześniej niż </w:t>
            </w:r>
            <w:r w:rsidRPr="00B104B0"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  <w:t>202</w:t>
            </w:r>
            <w:r w:rsidR="00B104B0" w:rsidRPr="00B104B0">
              <w:rPr>
                <w:rFonts w:ascii="Times New Roman" w:hAnsi="Times New Roman" w:cs="Times New Roman"/>
                <w:b/>
                <w:bCs/>
                <w:color w:val="FF0000"/>
                <w:lang w:eastAsia="zh-CN"/>
              </w:rPr>
              <w:t>3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rPr>
                <w:b/>
                <w:bCs/>
                <w:lang w:eastAsia="zh-C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1"/>
              <w:gridCol w:w="5282"/>
              <w:gridCol w:w="1280"/>
              <w:gridCol w:w="1783"/>
            </w:tblGrid>
            <w:tr w:rsidR="00753369" w:rsidRPr="004105DA" w:rsidTr="00753369">
              <w:trPr>
                <w:cantSplit/>
                <w:trHeight w:val="1559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lastRenderedPageBreak/>
                    <w:t>L.P.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t xml:space="preserve">PARAMETRY TECHNICZNE 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753369" w:rsidRDefault="00753369" w:rsidP="00753369">
                  <w:pPr>
                    <w:suppressAutoHyphens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t>PARAMETR WYMAGANY</w:t>
                  </w:r>
                  <w:r>
                    <w:rPr>
                      <w:rStyle w:val="Odwoanieprzypisudolnego"/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eastAsia="zh-CN"/>
                    </w:rPr>
                    <w:footnoteReference w:id="2"/>
                  </w:r>
                </w:p>
              </w:tc>
              <w:tc>
                <w:tcPr>
                  <w:tcW w:w="1044" w:type="pct"/>
                  <w:vAlign w:val="center"/>
                </w:tcPr>
                <w:p w:rsidR="00753369" w:rsidRPr="00753369" w:rsidRDefault="00753369" w:rsidP="0075336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336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PARAMETRY OFEROWANE/ </w:t>
                  </w:r>
                  <w:r w:rsidRPr="0075336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NR STRONY W MATERIAŁACH INFORMACYJNYCH DOŁĄCZONYCH DO OFERTY</w:t>
                  </w: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3022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shd w:val="clear" w:color="auto" w:fill="D9D9D9" w:themeFill="background1" w:themeFillShade="D9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ind w:left="174"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 xml:space="preserve">Przenośny monitor do podłączania </w:t>
                  </w: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ów - 1 szt.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174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Obsługa monitora poprzez kolorowy ekran dotykowy HD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Przekątna ekranu min. 7,5"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Rozdzielczość ekranu min. 1920 x 1080 pikseli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Monitor wyposażony w min. 2 gniazda wejściowe kamer do jednoczesnego podłączenia oferowanego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wraz z dedykowanym giętkim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wideoendoskopem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intubacyjnym lub innym dedykowanym przyrządem do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wideointubacji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 celu szybkiej zmiany przyrządu do intubacji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Dostępna funkcja jednoczesnego wyświetlania obrazu z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dw</w:t>
                  </w: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óch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kamer w trybach Picture-in-Picture 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Side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-by-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Side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gniazdo karty pamięci SD umożliwiające zapis przebiegu intubacji w postaci zdjęć i filmu wideo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Funkcja przeglądania i odtwarzania zapisanych zdjęć i film</w:t>
                  </w: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wideo bezpośrednio na monitorze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Monitor wyposażony w gniazdo USB do podłączenia pamięci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PenDrive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Funkcja zapisu dźwięku poprzez zintegrowany w monitorze mikrofon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Funkcja transferu danych z karty SD do pamięci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PenDrive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gniazdo wideo HDMI do podłączenia do dodatkowego, zewnętrznego monitora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Monitor wyposażony w standard mocowania VESA umożliwiający zamocowanie do stojaka mobilnego lub uchwytu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Współczynnik ochrony min. IP54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Zasilanie monitora poprzez zintegrowany akumulator Li-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Ion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jak również z sieci 230 V / 50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Hz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zasilacz sieciowy w zestawie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Przewód łączący przenośny monitor z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wideolaryngoskopem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–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Wideolaryngoskopy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 xml:space="preserve"> wielorazowe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 zintegrowaną łopatką i rękojeścią, wykonany z metalu, podlegający procedurom dekontaminacji w celu ponownego użycia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wykonana z tytanu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wykorzystujący technologię kamery CMOS oraz technologię oświetleniową LED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Rozdzielczość HD min. 800p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wyposażona w jeden przycisk do uruchamiania zapisu zdjęć i filmu w podłączonym monitorze (obsługa poprzez długie i kr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ótkie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wciśnięcie przycisku)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Rękojeść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wyposażona w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bezgwintowy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interfejs do połączenia z przenośnym monitorem przy pomocy przewodu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Możliwość przymocowania dedykowanego małego monitora kieszonkowego bezpośrednio na rękojeści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wideolaryngoskopu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o kształcie Macintosh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. 3 - 1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o kształcie Macintosh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. 4 - 1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W zestawie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 łopatką do trudnych intubacji - 1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Zatyczka ochronna do interfejsu połączeniowego 4 szt.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III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 xml:space="preserve">Moduł kamery do </w:t>
                  </w: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 jednorazowych - 1 szt.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Moduł kamery przeznaczony do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wsp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ółpracy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z przenośnym monitorem i jednorazowymi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wideolaryngoskopami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Technologia kamery CMOS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Moduł kamery wyposażony w obudowę z elastyczną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końc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ówką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 xml:space="preserve"> umożlwiającą wprowadzenie do wewnątrz rękojeści i łopatki jednorazowego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wideolaryngoskopu</w:t>
                  </w:r>
                  <w:proofErr w:type="spellEnd"/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Moduł wyposażona w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bezgwintowy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interfejs do połączenia z przenośnym monitorem przy pomocy przewodu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Uruchamianie zapisu zdjęć i film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ów w podłączonym monitorze przy pomocy jednego przycisku umieszczonego na obudowie modułu kamery (poprzez długie i krótkie wciśnięcie przycisku)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przymocowania dedykowanego małego monitora kieszonkowego bezpośrednio do modułu kamery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IV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>Wideolaryngoskopy</w:t>
                  </w:r>
                  <w:proofErr w:type="spellEnd"/>
                  <w:r w:rsidRPr="00DF7D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pl"/>
                    </w:rPr>
                    <w:t xml:space="preserve"> jednorazowe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Macintosh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 3,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Macintosh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rozm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 4,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Jednorazowy </w:t>
                  </w:r>
                  <w:proofErr w:type="spellStart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złożony z łopatki i zintegrowanej rękojeści umożliwiającej wprowadzenie modułu kamery, łopatka o kształcie dedykowanym do trudnych intubacji, op. 10 szt. - 2 op.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6F4CE0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E5DFEC" w:themeFill="accent4" w:themeFillTint="33"/>
                  <w:vAlign w:val="center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  <w:t>V</w:t>
                  </w: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Stojak mobilny - 1 zestaw</w:t>
                  </w:r>
                </w:p>
              </w:tc>
              <w:tc>
                <w:tcPr>
                  <w:tcW w:w="667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  <w:lang w:eastAsia="zh-CN"/>
                    </w:rPr>
                    <w:t>Podać typ, producent</w:t>
                  </w:r>
                </w:p>
              </w:tc>
              <w:tc>
                <w:tcPr>
                  <w:tcW w:w="1044" w:type="pct"/>
                  <w:shd w:val="clear" w:color="auto" w:fill="E5DFEC" w:themeFill="accent4" w:themeFillTint="33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Stojak mobilny na 4 kołach z możliwością przymocowania przenośnego monitora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B90423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022" w:type="pc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53369" w:rsidRPr="00DF7D24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Kosz druciany wyposażony w uchwyt do </w:t>
                  </w:r>
                  <w:proofErr w:type="spellStart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wideolaryngoskop</w:t>
                  </w:r>
                  <w:proofErr w:type="spellEnd"/>
                  <w:r w:rsidRPr="00DF7D2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667" w:type="pct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ED05BB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3022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667" w:type="pct"/>
                  <w:shd w:val="clear" w:color="auto" w:fill="D9D9D9" w:themeFill="background1" w:themeFillShade="D9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4" w:type="pct"/>
                  <w:shd w:val="clear" w:color="auto" w:fill="D9D9D9" w:themeFill="background1" w:themeFillShade="D9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3961C5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DF7D24">
                    <w:rPr>
                      <w:rFonts w:ascii="Times New Roman" w:eastAsia="Calibri" w:hAnsi="Times New Roman"/>
                      <w:sz w:val="20"/>
                      <w:szCs w:val="20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 z dostawą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4105DA" w:rsidTr="00753369">
              <w:trPr>
                <w:cantSplit/>
                <w:trHeight w:val="20"/>
              </w:trPr>
              <w:tc>
                <w:tcPr>
                  <w:tcW w:w="2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3022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Czy producent zaleca wykonywanie przeglądów technicznych?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Jeżeli TAK podać częstotliwość wykonania przeglądów technicznych zalecanych przez producenta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 przypadku odpowiedzi TAK:</w:t>
                  </w:r>
                </w:p>
                <w:p w:rsidR="00753369" w:rsidRPr="00DF7D24" w:rsidRDefault="00753369" w:rsidP="0075336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Wszystkie przeglądy, naprawy w okresie gwarancji  (części, dojazd, czas pracy serwisu) wliczone w cenę oferty dokonywane w siedzibie zamawiającego.</w:t>
                  </w:r>
                </w:p>
              </w:tc>
              <w:tc>
                <w:tcPr>
                  <w:tcW w:w="667" w:type="pct"/>
                  <w:shd w:val="clear" w:color="auto" w:fill="auto"/>
                  <w:vAlign w:val="center"/>
                </w:tcPr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TAK/NIE</w:t>
                  </w:r>
                  <w:r w:rsidRPr="00DF7D24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3"/>
                  </w:r>
                </w:p>
                <w:p w:rsidR="00753369" w:rsidRPr="00DF7D24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F7D24">
                    <w:rPr>
                      <w:rFonts w:ascii="Times New Roman" w:hAnsi="Times New Roman"/>
                      <w:sz w:val="20"/>
                      <w:szCs w:val="20"/>
                    </w:rPr>
                    <w:t>Podać jeśli zalecane</w:t>
                  </w:r>
                </w:p>
              </w:tc>
              <w:tc>
                <w:tcPr>
                  <w:tcW w:w="1044" w:type="pct"/>
                </w:tcPr>
                <w:p w:rsidR="00753369" w:rsidRPr="00DF7D24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753369" w:rsidRPr="00CD5E0E" w:rsidRDefault="00753369" w:rsidP="00753369">
            <w:pPr>
              <w:suppressAutoHyphens/>
              <w:ind w:firstLine="708"/>
              <w:jc w:val="both"/>
              <w:rPr>
                <w:sz w:val="18"/>
                <w:szCs w:val="18"/>
                <w:lang w:eastAsia="zh-CN"/>
              </w:rPr>
            </w:pP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753369" w:rsidRPr="00753369" w:rsidRDefault="00753369" w:rsidP="00753369">
            <w:pPr>
              <w:numPr>
                <w:ilvl w:val="0"/>
                <w:numId w:val="4"/>
              </w:numPr>
              <w:suppressAutoHyphens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753369" w:rsidRPr="00753369" w:rsidRDefault="00753369" w:rsidP="00753369">
            <w:pPr>
              <w:numPr>
                <w:ilvl w:val="0"/>
                <w:numId w:val="4"/>
              </w:numPr>
              <w:suppressAutoHyphens/>
              <w:ind w:left="357" w:right="119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753369" w:rsidRPr="00CD5E0E" w:rsidRDefault="00753369" w:rsidP="00753369">
            <w:pPr>
              <w:rPr>
                <w:sz w:val="14"/>
                <w:szCs w:val="14"/>
              </w:rPr>
            </w:pPr>
            <w:r w:rsidRPr="00CD5E0E">
              <w:rPr>
                <w:sz w:val="14"/>
                <w:szCs w:val="14"/>
              </w:rPr>
              <w:t xml:space="preserve"> </w:t>
            </w: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</w:p>
          <w:p w:rsidR="00753369" w:rsidRPr="00CD5E0E" w:rsidRDefault="00753369" w:rsidP="00753369">
            <w:pPr>
              <w:ind w:left="357"/>
              <w:jc w:val="right"/>
              <w:rPr>
                <w:color w:val="000000"/>
                <w:sz w:val="16"/>
                <w:szCs w:val="20"/>
              </w:rPr>
            </w:pPr>
            <w:r w:rsidRPr="00CD5E0E">
              <w:rPr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753369" w:rsidRPr="00753369" w:rsidRDefault="00753369" w:rsidP="00753369">
            <w:pPr>
              <w:ind w:left="5103"/>
              <w:jc w:val="center"/>
              <w:rPr>
                <w:i/>
                <w:sz w:val="16"/>
                <w:szCs w:val="20"/>
              </w:rPr>
            </w:pPr>
            <w:r w:rsidRPr="00753369">
              <w:rPr>
                <w:i/>
                <w:sz w:val="16"/>
                <w:szCs w:val="20"/>
              </w:rPr>
              <w:t>podpis i  pieczęć  osób wskazanych w dokumencie</w:t>
            </w:r>
          </w:p>
          <w:p w:rsidR="00753369" w:rsidRPr="00753369" w:rsidRDefault="00753369" w:rsidP="0075336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753369">
              <w:rPr>
                <w:i/>
                <w:sz w:val="16"/>
                <w:szCs w:val="20"/>
              </w:rPr>
              <w:t>uprawniającym do występowania w obrocie prawnym</w:t>
            </w:r>
          </w:p>
          <w:p w:rsidR="00753369" w:rsidRPr="00753369" w:rsidRDefault="00753369" w:rsidP="00753369">
            <w:pPr>
              <w:jc w:val="center"/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                                                                                                               </w:t>
            </w:r>
            <w:r w:rsidRPr="00753369">
              <w:rPr>
                <w:i/>
                <w:sz w:val="16"/>
                <w:szCs w:val="20"/>
              </w:rPr>
              <w:t>lub posiadających pełnomocnictwo</w:t>
            </w:r>
          </w:p>
          <w:p w:rsidR="00753369" w:rsidRPr="00CD5E0E" w:rsidRDefault="00753369" w:rsidP="00753369">
            <w:pPr>
              <w:jc w:val="both"/>
              <w:rPr>
                <w:sz w:val="14"/>
                <w:szCs w:val="14"/>
              </w:rPr>
            </w:pPr>
          </w:p>
          <w:p w:rsidR="00753369" w:rsidRPr="00CD5E0E" w:rsidRDefault="00753369" w:rsidP="00753369">
            <w:pPr>
              <w:spacing w:after="200" w:line="276" w:lineRule="auto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  <w:r w:rsidRPr="00CD5E0E">
              <w:rPr>
                <w:b/>
                <w:bCs/>
                <w:u w:val="single"/>
                <w:lang w:eastAsia="zh-CN"/>
              </w:rPr>
              <w:br w:type="page"/>
            </w: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  <w:r w:rsidRPr="00F21CE1">
              <w:rPr>
                <w:b/>
                <w:bCs/>
                <w:u w:val="single"/>
                <w:lang w:eastAsia="zh-CN"/>
              </w:rPr>
              <w:t xml:space="preserve">Pakiet </w:t>
            </w:r>
            <w:r>
              <w:rPr>
                <w:b/>
                <w:bCs/>
                <w:u w:val="single"/>
                <w:lang w:eastAsia="zh-CN"/>
              </w:rPr>
              <w:t xml:space="preserve">2                   </w:t>
            </w:r>
            <w:r w:rsidRPr="00F21CE1">
              <w:rPr>
                <w:b/>
                <w:bCs/>
                <w:u w:val="single"/>
                <w:lang w:eastAsia="zh-CN"/>
              </w:rPr>
              <w:t xml:space="preserve"> Stół operacyjny urologiczny– 1 </w:t>
            </w:r>
            <w:proofErr w:type="spellStart"/>
            <w:r w:rsidRPr="00F21CE1">
              <w:rPr>
                <w:b/>
                <w:bCs/>
                <w:u w:val="single"/>
                <w:lang w:eastAsia="zh-CN"/>
              </w:rPr>
              <w:t>kpl</w:t>
            </w:r>
            <w:proofErr w:type="spellEnd"/>
            <w:r w:rsidRPr="00F21CE1">
              <w:rPr>
                <w:b/>
                <w:bCs/>
                <w:u w:val="single"/>
                <w:lang w:eastAsia="zh-CN"/>
              </w:rPr>
              <w:t>.</w:t>
            </w: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center"/>
              <w:rPr>
                <w:b/>
                <w:bCs/>
                <w:u w:val="single"/>
                <w:lang w:eastAsia="zh-CN"/>
              </w:rPr>
            </w:pPr>
          </w:p>
          <w:p w:rsidR="00753369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u w:val="single"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Wykonawca: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Nazwa i typ: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Producent/ Kraj :</w:t>
            </w:r>
            <w:r w:rsidRPr="00CD5E0E">
              <w:rPr>
                <w:b/>
                <w:bCs/>
                <w:lang w:eastAsia="zh-CN"/>
              </w:rPr>
              <w:tab/>
              <w:t>……………………………………………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rPr>
                <w:b/>
                <w:bCs/>
                <w:lang w:eastAsia="zh-CN"/>
              </w:rPr>
            </w:pPr>
            <w:r w:rsidRPr="00CD5E0E">
              <w:rPr>
                <w:b/>
                <w:bCs/>
                <w:lang w:eastAsia="zh-CN"/>
              </w:rPr>
              <w:t>Rok produkcji :</w:t>
            </w:r>
            <w:r w:rsidRPr="00CD5E0E">
              <w:rPr>
                <w:b/>
                <w:bCs/>
                <w:lang w:eastAsia="zh-CN"/>
              </w:rPr>
              <w:tab/>
              <w:t xml:space="preserve">sprzęt fabrycznie nowy, nieużywany, </w:t>
            </w:r>
            <w:proofErr w:type="spellStart"/>
            <w:r w:rsidRPr="00CD5E0E">
              <w:rPr>
                <w:b/>
                <w:bCs/>
                <w:lang w:eastAsia="zh-CN"/>
              </w:rPr>
              <w:t>nierekondycjonowany</w:t>
            </w:r>
            <w:proofErr w:type="spellEnd"/>
            <w:r w:rsidRPr="00CD5E0E">
              <w:rPr>
                <w:b/>
                <w:bCs/>
                <w:lang w:eastAsia="zh-CN"/>
              </w:rPr>
              <w:t xml:space="preserve">, nie powystawowy / rok produkcji </w:t>
            </w:r>
            <w:r>
              <w:rPr>
                <w:b/>
                <w:bCs/>
                <w:lang w:eastAsia="zh-CN"/>
              </w:rPr>
              <w:t>2024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p w:rsidR="00753369" w:rsidRPr="00CD5E0E" w:rsidRDefault="00753369" w:rsidP="00753369">
            <w:pPr>
              <w:rPr>
                <w:sz w:val="20"/>
                <w:szCs w:val="20"/>
              </w:rPr>
            </w:pPr>
            <w:r w:rsidRPr="00CD5E0E">
              <w:rPr>
                <w:sz w:val="20"/>
                <w:szCs w:val="20"/>
              </w:rPr>
              <w:t>*Odpowiedź NIE w przypadku parametrów wymaganych  powoduje odrzucenie oferty</w:t>
            </w:r>
          </w:p>
          <w:p w:rsidR="00753369" w:rsidRPr="00CD5E0E" w:rsidRDefault="00753369" w:rsidP="00753369">
            <w:pPr>
              <w:tabs>
                <w:tab w:val="left" w:pos="5812"/>
                <w:tab w:val="left" w:pos="9781"/>
              </w:tabs>
              <w:suppressAutoHyphens/>
              <w:ind w:left="2410" w:hanging="2410"/>
              <w:jc w:val="both"/>
              <w:rPr>
                <w:b/>
                <w:bCs/>
                <w:lang w:eastAsia="zh-CN"/>
              </w:rPr>
            </w:pPr>
          </w:p>
          <w:tbl>
            <w:tblPr>
              <w:tblW w:w="8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4815"/>
              <w:gridCol w:w="1418"/>
              <w:gridCol w:w="1737"/>
            </w:tblGrid>
            <w:tr w:rsidR="00753369" w:rsidRPr="004105DA" w:rsidTr="001A4C26">
              <w:trPr>
                <w:cantSplit/>
                <w:trHeight w:val="783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lastRenderedPageBreak/>
                    <w:t>L.P.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t xml:space="preserve">PARAMETRY TECHNICZNE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ED05BB" w:rsidRDefault="00753369" w:rsidP="00753369">
                  <w:pPr>
                    <w:suppressAutoHyphens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  <w:lang w:eastAsia="zh-CN"/>
                    </w:rPr>
                  </w:pPr>
                  <w:r w:rsidRPr="00ED05BB">
                    <w:rPr>
                      <w:b/>
                      <w:bCs/>
                      <w:sz w:val="16"/>
                      <w:szCs w:val="16"/>
                      <w:lang w:eastAsia="zh-CN"/>
                    </w:rPr>
                    <w:t>PARAMETR WYMAGANY</w:t>
                  </w:r>
                  <w:r>
                    <w:rPr>
                      <w:rStyle w:val="Odwoanieprzypisudolnego"/>
                      <w:b/>
                      <w:bCs/>
                      <w:sz w:val="16"/>
                      <w:szCs w:val="16"/>
                      <w:lang w:eastAsia="zh-CN"/>
                    </w:rPr>
                    <w:footnoteReference w:id="4"/>
                  </w:r>
                </w:p>
              </w:tc>
              <w:tc>
                <w:tcPr>
                  <w:tcW w:w="1737" w:type="dxa"/>
                  <w:vAlign w:val="center"/>
                </w:tcPr>
                <w:p w:rsidR="00753369" w:rsidRPr="00CD5E0E" w:rsidRDefault="00753369" w:rsidP="00753369">
                  <w:pPr>
                    <w:jc w:val="center"/>
                    <w:rPr>
                      <w:sz w:val="16"/>
                      <w:szCs w:val="16"/>
                    </w:rPr>
                  </w:pPr>
                  <w:r w:rsidRPr="00CD5E0E">
                    <w:rPr>
                      <w:b/>
                      <w:sz w:val="16"/>
                      <w:szCs w:val="16"/>
                    </w:rPr>
                    <w:t xml:space="preserve">PARAMETRY OFEROWANE/ </w:t>
                  </w:r>
                  <w:r w:rsidRPr="00CD5E0E">
                    <w:rPr>
                      <w:b/>
                      <w:sz w:val="16"/>
                      <w:szCs w:val="16"/>
                    </w:rPr>
                    <w:br/>
                    <w:t>NR STRONY W MATERIAŁACH INFORMACYJNYCH DOŁĄCZONYCH DO OFERTY</w:t>
                  </w:r>
                </w:p>
              </w:tc>
            </w:tr>
            <w:tr w:rsidR="00753369" w:rsidRPr="006F4CE0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4C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PARAMETRY OGÓLNE 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</w:tcPr>
                <w:p w:rsidR="00753369" w:rsidRPr="006F4CE0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Stół operacyjny mobilny na podstawie jezdnej z min. 4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podw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ójnymi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kołami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Koła o średnicy min. 140  mm  +/- 15 mm pozwalającej na łatwe manewrowanie stołem oraz transport pacjenta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z dodatkowym piątym kołem kierunkowym aktywowanym w celu łatwiejszego manewrowania stołem lub z napędem własnym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Wymiary stołu: długość min. 195 cm, szerokość z szynami bocznymi: min. 58 cm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Kolumna stołu teleskopowa pokryta panelami ze stali nierdzewnej. Dopuszcza się częściowy fartuch gumowy.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A23BA4" w:rsidRPr="00C20133" w:rsidRDefault="00753369" w:rsidP="00A23B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Kolumna umiejscowiona na podstawie stołu niecentralnie umożliwiająca wysunięcie blatu stołu poza kolumnę o min. 1450 mm od strony głowy oraz min. 980 mm od strony n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óg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A23BA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A23BA4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A23BA4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stół operacyjny z bardzo wąską kolumną umieszczoną centralnie umożliwiająca wysunięcie blatu stołu poza kolumnę o 1062 mm od strony głowy oraz  o 1561mm od strony nóg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tabs>
                      <w:tab w:val="right" w:pos="6838"/>
                    </w:tabs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Konstrukcja blatu modułowa pozwalająca na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dob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ór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odpowiedniej konfiguracji i długości blatu w zależności od rodzaju zabiegu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blokowany za pomocą centralnego hamulca k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znajdującego się po obu stronach stołu osi długiej 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zamiany miejscami segmentu plecowego z nożnym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Poszczególne elementy blatów łączone na zasadzie gniazda wpustowego (np.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szybkozłączka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hak, zatrzask, gniazdo-czop), bez dodatkowych manipulacji w innych płaszczyznach oraz bez użycia narzędzi i pokręteł (jedno kliknięcie/osadzenie powinno stanowić bezpieczne połączenie element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Gniazda wpustowe czytelnie oznaczone: blokada/zwolnienie blokady, bez konieczności przytrzymywania blokady do zdjęcia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poszczeg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ólnych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elementów.</w:t>
                  </w:r>
                  <w:r w:rsidR="00D61DE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="00D61DE3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D61DE3" w:rsidRP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stół operacyjny w którym elementy blatu są odłączane poprzez naciśnięcie przycisku a tym samym zwolnienie blokady , przyciski do zwalniania blokady oznaczone wyraźnym  niebieskim kolorem.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bezprzewodowy ze wskaźnikiem słupkowym naładowania baterii stołu i pilota.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z wyświetlaczem wyposażony w przyciski oznaczone czytelnymi, podświetlanymi piktogramami ułatwiającymi pracę w zacienionej sali operacyjnej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Ładowanie pilota bezprzewodowego poza obrębem stołu(bez konieczności podłączania pilota do stołu)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Pilot aktywowany ze stanu czuwania do stanu gotowości za pomocą wbudowanego czujnika ruchu (podniesienie pilota powoduje jego aktywację)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Ostrzeżenie o możliwości wystąpienia kolizji: wizualne (na ekranie pilota sterującego), akustyczne - za pomocą sygnału ostrzegawczego i dotykowe - poprzez alarm wibracyjny pilota sterującego</w:t>
                  </w:r>
                  <w:r w:rsidR="00D61DE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br/>
                  </w:r>
                  <w:r w:rsidR="00D61DE3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D61DE3" w:rsidRP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stół operacyjny z ostrzeżeniem o możliwości wystąpienia kolizji akustycznie za pomocą sygnału ostrzegawczego i  wizualnie poprzez system </w:t>
                  </w:r>
                  <w:proofErr w:type="spellStart"/>
                  <w:r w:rsidR="00D61DE3" w:rsidRP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ledowy</w:t>
                  </w:r>
                  <w:proofErr w:type="spellEnd"/>
                  <w:r w:rsidR="00D61DE3" w:rsidRP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 ( czerwony, żółty , zielony)w podstawie stołu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Przesuw wzdłużny blatu min. 300 mm wykonywany z pilota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Blat stołu przezierny dla promieniowania RTG – Przystosowany do monitorowania ramieniem C. Brak umiejscowienia poprzeczek wzmacniających mogących przesłaniać obraz RTG.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52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Blat stołu dzielony na min. 5 segment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ów: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podgłówek – odłączony, z możliwością podwójnej regulacji kąta ustawienia głowy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- przedłużenie segmentu plecowego regulowane elektrycznie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segment plecowy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siedzisko (z wycięciem ginekologicznym lub bez do wyboru przez zamawiającego)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  <w:t>- segment nożny dzielony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Sekcja nóg 2-dzielna z możliwością odwiedzenia na boki całego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podn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óżka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zakresie min. 120 ° - 2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Zakres elektrohydraulicznej regulacji segmentów nóg w zakresie min. -90°/+70°</w:t>
                  </w:r>
                  <w:r w:rsidR="00D61DE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br/>
                  </w:r>
                  <w:r w:rsidR="00D61DE3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61DE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D61DE3" w:rsidRPr="00D61DE3">
                    <w:rPr>
                      <w:color w:val="FF0000"/>
                    </w:rPr>
                    <w:t>elektromechaniczną regulację segmentów blatu między innymi segmentu nóg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Zakres regulacji segmentów nóg wspomaganej sprężyną gazową min. -90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°/+10°</w:t>
                  </w:r>
                  <w:r w:rsidR="00D61DE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="00D61DE3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61DE3">
                    <w:br/>
                  </w:r>
                  <w:r w:rsidR="00D61DE3" w:rsidRPr="00D61DE3">
                    <w:rPr>
                      <w:color w:val="FF0000"/>
                    </w:rPr>
                    <w:t>regulację segmentu nóg elektromechanicznie w zakresie -105 stopni do +90 stopni  bez wspomagania sprężyną gazową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92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Podgł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ówek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regulowany manualnie w dwóch płaszczyznach za pomocą dźwigni odpowiadających za poszczególne osie/płaszczyzny. Zakres regulacji podgłówka w zakresie min. -45°/+25°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Ruchome, uchylne przedłużenie sekcji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umożliwiające wypiętrzenie klatki piersiowej sterowane z pilota , regulacja elektryczna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Sterowana za pomocą pilota regulacja elektrohydrauliczna następujących ruch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(wg zakresów podanych w poniżej wyspecyfikowanych punktach):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wysokość blatu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- regulacja pozycji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/anty-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Trenedelenburga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regulacja przechyłów bocznych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regulacja płyty plecowej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- regulacje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podnóżk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ów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- pozycja „0” za pomocą jednego przycisku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 xml:space="preserve">- pozycja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reflex</w:t>
                  </w:r>
                  <w:proofErr w:type="spellEnd"/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- przesuw wzdłużny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Powrót blatu do pozycji wyjściowej (pozycja „0”) po naciśnięciu i przytrzymaniu jednego przycisku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Stół z możliwością zapamiętywania i łatwego wywoływania min. 6 często używanych przez Użytkownika pozycji (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opr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ócz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pozycji na stałe zaprogramowanych przez producenta, np. pozycja „0” oraz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” 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reflex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”)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Funkcje ustawienia blatu stołu do pozycji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” i „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reflex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” realizowane za pomocą jednego przycisku lub po wybraniu tej funkcji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Regulacja wysokości w zakresie min. od 70 do 110 cm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Regulacja nachylenia wzdłużnego (pozycja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anty-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Trendelenburga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) w zakresie min. -30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 do +30°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Regulacje nachyleń bocznych w zakresie min. 20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 w obie strony.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Regulacja nachylenia płyty plecowej w zakresie min. -40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°, +70°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Sygnalizacja braku blokady kół przed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óbą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zmiany ustawień stołu, który nie został wcześniej unieruchomiony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System antykolizyjny, zabezpieczający przed kolizja element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ów blatu oraz niepozwalający na uderzenie elementem blatu o podłoże (system zatrzymujący ruch w przypadku możliwego wystąpienia kolizji i informujący o zaistniałej sytuacji)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 zatrzymanie ruchu stołu w d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przypadku napotkania przeszkody.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Materace przeciwodleżynowe,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demontowalne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, odporne na środki dezynfekcyjne, zespalane bezszwową metodą, o grubości min. 60 mm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Materac z funkcja pamięci kształtu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Mocowanie materacy do stołu przy pomocy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samoprzylepnych pasków żelowych </w:t>
                  </w:r>
                </w:p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Nie dopuszcza się mocowania na rzepy.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awaryjnej regulacji przechył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Dodatkowy panel sterujący umieszczony na kolumnie stołu od strony n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óg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głowy pacjenta, odejmowalny umożliwiający sterowanie stołem poza obrębem stołu. Przewód panelu niewidoczny, ukryty w kolumnie lub inne rozwiązanie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wktórym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przewód nie będzie widoczny.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Zasilanie stołu akumulatorowe wbudowane w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 graficzny wskaźnik słupkowy stanu naładowania baterii na pilocie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Szyny sprzętowe ze stali nierdzewnej o przekroju 10 x 25 mm wzdłuż wszystkich segment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 blatu, po obu stronach stołu.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Szyna sprzętowa ze stali nierdzewnej o przekroju 10 x 25 mm od strony głowy pacjenta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pracy z sieci 230V w trybie awaryjnym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Dopuszczalne obciążenie stołu – min. 450 kg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Max. obciążenie robocze umożliwiająca użycie stołu w dowolnym położeniu – min. 350 kg</w:t>
                  </w:r>
                  <w:r w:rsidRPr="00C20133">
                    <w:rPr>
                      <w:rFonts w:ascii="Times New Roman" w:hAnsi="Times New Roman"/>
                      <w:strike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Możliwość włączenia funkcji powolnego startu ruch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ów stołu do wykorzystania w sytuacjach wymagających bardzo precyzyjnej zmiany ustawień 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E5DFEC" w:themeFill="accent4" w:themeFillTint="33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E5DFEC" w:themeFill="accent4" w:themeFillTint="33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pl"/>
                    </w:rPr>
                    <w:t>Wyposażenie stołu:</w:t>
                  </w:r>
                </w:p>
              </w:tc>
              <w:tc>
                <w:tcPr>
                  <w:tcW w:w="1418" w:type="dxa"/>
                  <w:shd w:val="clear" w:color="auto" w:fill="E5DFEC" w:themeFill="accent4" w:themeFillTint="33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shd w:val="clear" w:color="auto" w:fill="E5DFEC" w:themeFill="accent4" w:themeFillTint="33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Podpórka ręki wraz z dwoma pasami mocującymi, długa min 45 cm, na trzech przegubach kulowych, ustawiana przy pomocy jednego pokrętła. Po przekręceniu pokrętła następuje zwolnienie wszystkich przegub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ów. Mocowanie na szynie bocznej stołu za pomocą zintegrowanej klamry –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Anestezjologiczna podpórka ręki wraz z dwoma pasami mocującymi, długa min 60 cm, na przegubie kulowym, ustawiana przy pomocy jednej dźwigni,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obr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ót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o 360° i przechył min. +/- 30° z zaciskami uniwersalnymi do mocowania na szynie bocznej stołu -2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Pas do mocowania pacjenta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bariatryczny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z poduszką piankową wymiar min. 10x45, montowany do szyn bocznych stołu – 4 szt.</w:t>
                  </w:r>
                  <w:r w:rsidR="00DD0887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br/>
                  </w:r>
                  <w:r w:rsidR="00DD0887" w:rsidRPr="00A23BA4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D0887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DD0887" w:rsidRPr="00DD0887">
                    <w:rPr>
                      <w:rFonts w:ascii="CIDFont+F1" w:hAnsi="CIDFont+F1" w:cs="CIDFont+F1"/>
                      <w:color w:val="FF0000"/>
                      <w:sz w:val="20"/>
                      <w:szCs w:val="20"/>
                    </w:rPr>
                    <w:t xml:space="preserve">pas </w:t>
                  </w:r>
                  <w:proofErr w:type="spellStart"/>
                  <w:r w:rsidR="00DD0887" w:rsidRPr="00DD0887">
                    <w:rPr>
                      <w:rFonts w:ascii="CIDFont+F1" w:hAnsi="CIDFont+F1" w:cs="CIDFont+F1"/>
                      <w:color w:val="FF0000"/>
                      <w:sz w:val="20"/>
                      <w:szCs w:val="20"/>
                    </w:rPr>
                    <w:t>bariatryczny</w:t>
                  </w:r>
                  <w:proofErr w:type="spellEnd"/>
                  <w:r w:rsidR="00DD0887" w:rsidRPr="00DD0887">
                    <w:rPr>
                      <w:rFonts w:ascii="CIDFont+F1" w:hAnsi="CIDFont+F1" w:cs="CIDFont+F1"/>
                      <w:color w:val="FF0000"/>
                      <w:sz w:val="20"/>
                      <w:szCs w:val="20"/>
                    </w:rPr>
                    <w:t xml:space="preserve"> bez poduszki piankowej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Zaciski mocujące do stołu z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systeme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 szybkiego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momtażu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, stal nierdzewna – 8szt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Ramka anestetyczna ze stali nierdzewnej z zaciskiem uniwersalnymi do mocowania na szynie bocznej stołu 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Podpórki barkowe zawierające: 2 klamry, 2 antystatyczne poduszki  min. 120 x 200 mm, 2 pręty mocujące do zainstalowania poduszek w poziomie lub w pionie -- 1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Klamra mocująca do mocowania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órek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pleców / pośladków, łonowych, umożliwiająca obrót w 2 płaszczyznach oraz regulację podpórek zarówno w pionie jak i w poziomie, zawierająca klamrę mocującą do szyn bocznych - 2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Podparcie boczne szerokie o wymiarach 200x120mm ± 10 mm -2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Podpórki pod nogi (para) z ochroną nerwu strzałkowego, regulacja ze wspomaganiem za pomocą sprężyn gazowych, samoblokujące się, osłona z tworzywa sztucznego z podkładką, na stopę i podudzie, regulowane we wszystkich pozycjach, ze zintegrowanym uchwytem na szynę boczną –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333FA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bookmarkStart w:id="0" w:name="_Hlk164322296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Materac żelowy na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st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ół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 xml:space="preserve"> operacyjny </w:t>
                  </w:r>
                  <w:r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115x52x1</w:t>
                  </w:r>
                  <w:r w:rsidR="00333FAC"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,</w:t>
                  </w:r>
                  <w:r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 xml:space="preserve">0cm 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– 2szt</w:t>
                  </w:r>
                  <w:bookmarkEnd w:id="0"/>
                  <w:r w:rsidR="00333FAC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333FAC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="00333FAC"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333FAC"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  <w:t>zaoferowanie materaca żelowego na stół operacyjny o wymiarach 1170 x 500x10mm lub 1200 x 500 x 13 mm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DF63F2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Żelowe pozycjonery uniwersalne, wałki wymiar min. 290 x 100 x 60 mm +/- 10mm i </w:t>
                  </w:r>
                  <w:bookmarkStart w:id="1" w:name="_Hlk164322463"/>
                  <w:r w:rsidRPr="00197CC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340x120x70 mm +/-1</w:t>
                  </w:r>
                  <w:r w:rsidR="00197CC3" w:rsidRPr="00197CC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0 </w:t>
                  </w:r>
                  <w:r w:rsidRPr="00197CC3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mm</w:t>
                  </w:r>
                  <w:bookmarkEnd w:id="1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- 1 </w:t>
                  </w:r>
                  <w:proofErr w:type="spellStart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kpl</w:t>
                  </w:r>
                  <w:proofErr w:type="spellEnd"/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.</w:t>
                  </w:r>
                  <w:r w:rsidR="00DF63F2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br/>
                  </w:r>
                  <w:r w:rsidR="00DF63F2" w:rsidRPr="00333FA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DF63F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br/>
                  </w:r>
                  <w:r w:rsidR="004054A8" w:rsidRP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pozycjonery o wymiarach  półwałek 300x100x70 mm i poduszkę 330x120x60 mm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>Podkładka żelowa do ułożenia bocznego pacjenta wymiar min. 720 x 500 x 160 mm +/- 10mm – 1szt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Pierścień żelowy pod głowę dla dorosłych, zamknięty fi min. 200x50 – 1 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Ładowarka do pilota biurkowa lub na szynę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Modura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/do wyboru przez Zamawiającego/ - 1szt.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Przedłużenie urologiczne sekcji siedziska o około 420mm +/10mm, przezierne z szynami bocznymi ze stali nierdzewnej, dopasowane do wycięcia ginekologicznego– 1szt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Poszerzenia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zestaw 2 segmentów wykonanych 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paianki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pokrytej antystatyczną powłoką dł. 500+/-5mm do sekcji siedziska oraz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ów, montowane do szyn bocznych do stołu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Poszerzenia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zestaw 2 segmentów wykonanych 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paianki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pokrytej antystatyczną powłoką dł. 300+/-5mm do sekcji siedziska oraz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plec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ów, montowane do szyn bocznych do stołu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Pdpórki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</w:t>
                  </w:r>
                  <w:proofErr w:type="spellStart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bariatryczne</w:t>
                  </w:r>
                  <w:proofErr w:type="spellEnd"/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pod stopy montowane do szyn bocznych z klamrami – 1 para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Uchwyt nadgarstka, montowany do szyny– 2szt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shd w:val="clear" w:color="auto" w:fill="FFFFFF"/>
                  <w:vAlign w:val="center"/>
                </w:tcPr>
                <w:p w:rsidR="004054A8" w:rsidRPr="004054A8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>Pozycjoner żelowy kości krzyżowej, wymiar min.450x440x30mm +/-10mm – 2szt</w:t>
                  </w:r>
                  <w:r w:rsidR="004054A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</w:r>
                  <w:r w:rsidR="004054A8" w:rsidRP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Dopuszczono:</w:t>
                  </w:r>
                  <w:r w:rsidR="004054A8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br/>
                  </w:r>
                  <w:r w:rsidR="004054A8" w:rsidRP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pozycjoner kości krzyżowej o wymiarach 440x420x30 mm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Zestaw 3 pozycjonerów w kształcie klina, wodoodporny i łatwo zmywalny materiał  </w:t>
                  </w:r>
                  <w:r w:rsidRP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wymiar </w:t>
                  </w:r>
                  <w:r w:rsid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do wyboru przed dostawą z </w:t>
                  </w:r>
                  <w:r w:rsidR="0017394C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>oferowanych</w:t>
                  </w:r>
                  <w:r w:rsidR="004054A8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pl"/>
                    </w:rPr>
                    <w:t xml:space="preserve"> przez Wykonawcę </w:t>
                  </w:r>
                  <w:r w:rsidRPr="00C2013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pl"/>
                    </w:rPr>
                    <w:t xml:space="preserve"> – 1kpl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C20133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C20133" w:rsidRDefault="00753369" w:rsidP="00753369">
                  <w:pPr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398" w:hanging="398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815" w:type="dxa"/>
                  <w:vAlign w:val="center"/>
                </w:tcPr>
                <w:p w:rsidR="00753369" w:rsidRPr="00C20133" w:rsidRDefault="00753369" w:rsidP="007533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  <w:lang w:val="pl"/>
                    </w:rPr>
                    <w:t xml:space="preserve">Wszystkie akcesoria z seryjnej produkcji. </w:t>
                  </w:r>
                  <w:r w:rsidRPr="00C20133">
                    <w:rPr>
                      <w:rFonts w:ascii="Times New Roman" w:hAnsi="Times New Roman"/>
                      <w:sz w:val="20"/>
                      <w:szCs w:val="20"/>
                      <w:highlight w:val="white"/>
                      <w:lang w:val="pl"/>
                    </w:rPr>
                    <w:t>Potwierdzenie parametrów katalogiem lub kartą produktu.</w:t>
                  </w:r>
                </w:p>
              </w:tc>
              <w:tc>
                <w:tcPr>
                  <w:tcW w:w="1418" w:type="dxa"/>
                </w:tcPr>
                <w:p w:rsidR="00753369" w:rsidRPr="00C20133" w:rsidRDefault="00753369" w:rsidP="0075336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20133">
                    <w:rPr>
                      <w:rFonts w:ascii="Times New Roman" w:hAnsi="Times New Roman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737" w:type="dxa"/>
                </w:tcPr>
                <w:p w:rsidR="00753369" w:rsidRPr="00C20133" w:rsidRDefault="00753369" w:rsidP="0075336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753369" w:rsidRPr="00ED05BB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ED05BB">
                    <w:rPr>
                      <w:b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rPr>
                      <w:sz w:val="18"/>
                      <w:szCs w:val="18"/>
                    </w:rPr>
                  </w:pPr>
                  <w:r w:rsidRPr="00ED05BB">
                    <w:rPr>
                      <w:b/>
                      <w:sz w:val="18"/>
                      <w:szCs w:val="18"/>
                    </w:rPr>
                    <w:t>INNE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53369" w:rsidRPr="00ED05BB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</w:tcPr>
                <w:p w:rsidR="00753369" w:rsidRPr="00ED05BB" w:rsidRDefault="00753369" w:rsidP="00753369">
                  <w:pPr>
                    <w:suppressAutoHyphens/>
                    <w:rPr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53369" w:rsidRPr="003961C5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      </w:r>
                  <w:r w:rsidRPr="00CD5E0E">
                    <w:rPr>
                      <w:rFonts w:ascii="Times New Roman" w:eastAsia="Calibri" w:hAnsi="Times New Roman"/>
                      <w:sz w:val="18"/>
                      <w:szCs w:val="18"/>
                      <w:shd w:val="clear" w:color="auto" w:fill="FFFFFF"/>
                    </w:rPr>
                    <w:t xml:space="preserve"> wykazu czynności serwisowych, które mogą być wykonywane przez użytkownika samodzielnie nieskutkujące utratą gwarancji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t>TAK z dostawą</w:t>
                  </w:r>
                </w:p>
              </w:tc>
              <w:tc>
                <w:tcPr>
                  <w:tcW w:w="1737" w:type="dxa"/>
                </w:tcPr>
                <w:p w:rsidR="00753369" w:rsidRPr="003961C5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753369" w:rsidRPr="004105DA" w:rsidTr="001A4C26">
              <w:trPr>
                <w:cantSplit/>
                <w:trHeight w:val="2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3369" w:rsidRPr="003961C5" w:rsidRDefault="00753369" w:rsidP="00753369">
                  <w:pPr>
                    <w:tabs>
                      <w:tab w:val="right" w:pos="6838"/>
                    </w:tabs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61C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15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Czy producent zaleca wykonywanie przeglądów technicznych?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Jeżeli TAK podać częstotliwość wykonania przeglądów technicznych zalecanych przez producenta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W przypadku odpowiedzi TAK:</w:t>
                  </w:r>
                </w:p>
                <w:p w:rsidR="00753369" w:rsidRPr="00CD5E0E" w:rsidRDefault="00753369" w:rsidP="00753369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Wszystkie przeglądy, naprawy w okresie gwarancji  (części, dojazd, czas pracy serwisu) wliczone w cenę oferty dokonywane w siedzibie zamawiającego.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53369" w:rsidRPr="00CD5E0E" w:rsidRDefault="00753369" w:rsidP="007533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TAK/NIE</w:t>
                  </w:r>
                  <w:r w:rsidRPr="003961C5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footnoteReference w:id="5"/>
                  </w:r>
                </w:p>
                <w:p w:rsidR="00753369" w:rsidRPr="00CD5E0E" w:rsidRDefault="00753369" w:rsidP="007533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5E0E">
                    <w:rPr>
                      <w:rFonts w:ascii="Times New Roman" w:hAnsi="Times New Roman"/>
                      <w:sz w:val="18"/>
                      <w:szCs w:val="18"/>
                    </w:rPr>
                    <w:t>Podać jeśli zalecane</w:t>
                  </w:r>
                </w:p>
              </w:tc>
              <w:tc>
                <w:tcPr>
                  <w:tcW w:w="1737" w:type="dxa"/>
                </w:tcPr>
                <w:p w:rsidR="00753369" w:rsidRPr="00CD5E0E" w:rsidRDefault="00753369" w:rsidP="00753369">
                  <w:pPr>
                    <w:suppressAutoHyphens/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:rsidR="00753369" w:rsidRPr="00CD5E0E" w:rsidRDefault="00753369" w:rsidP="00753369">
            <w:pPr>
              <w:suppressAutoHyphens/>
              <w:ind w:firstLine="708"/>
              <w:jc w:val="both"/>
              <w:rPr>
                <w:sz w:val="18"/>
                <w:szCs w:val="18"/>
                <w:lang w:eastAsia="zh-CN"/>
              </w:rPr>
            </w:pP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Treść oświadczenia wykonawcy: </w:t>
            </w:r>
          </w:p>
          <w:p w:rsidR="00753369" w:rsidRPr="00753369" w:rsidRDefault="00753369" w:rsidP="00753369">
            <w:pPr>
              <w:numPr>
                <w:ilvl w:val="0"/>
                <w:numId w:val="8"/>
              </w:numPr>
              <w:suppressAutoHyphens/>
              <w:ind w:right="1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przedstawione powyżej dane są prawdziwe oraz zobowiązujemy się w przypadku wygrania postępowania do dostarczenia sprzętu spełniającego wyspecyfikowane parametry.</w:t>
            </w:r>
          </w:p>
          <w:p w:rsidR="00753369" w:rsidRPr="00753369" w:rsidRDefault="00753369" w:rsidP="00753369">
            <w:pPr>
              <w:numPr>
                <w:ilvl w:val="0"/>
                <w:numId w:val="8"/>
              </w:numPr>
              <w:suppressAutoHyphens/>
              <w:ind w:left="357" w:right="119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336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Oświadczamy, że oferowany, powyżej wyspecyfikowany sprzęt jest kompletny i po zainstalowaniu będzie gotowy do eksploatacji, bez żadnych dodatkowych zakupów i inwestycji.</w:t>
            </w: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33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53369" w:rsidRPr="00753369" w:rsidRDefault="00753369" w:rsidP="00753369">
            <w:pPr>
              <w:ind w:left="357"/>
              <w:jc w:val="right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………............................................................................... </w:t>
            </w:r>
          </w:p>
          <w:p w:rsidR="00753369" w:rsidRPr="00753369" w:rsidRDefault="00753369" w:rsidP="00753369">
            <w:pPr>
              <w:ind w:left="5103"/>
              <w:jc w:val="right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>podpis i  pieczęć  osób wskazanych w dokumencie</w:t>
            </w:r>
          </w:p>
          <w:p w:rsidR="00753369" w:rsidRPr="00753369" w:rsidRDefault="00753369" w:rsidP="00753369">
            <w:pPr>
              <w:jc w:val="right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>uprawniającym do występowania w obrocie prawnym</w:t>
            </w:r>
          </w:p>
          <w:p w:rsidR="00753369" w:rsidRPr="00753369" w:rsidRDefault="00753369" w:rsidP="00753369">
            <w:pPr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             </w:t>
            </w:r>
            <w:r w:rsidRPr="0075336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lub posiadających pełnomocnictwo</w:t>
            </w:r>
          </w:p>
          <w:p w:rsidR="00FC153E" w:rsidRPr="00C849D4" w:rsidRDefault="00FC153E" w:rsidP="0029736F">
            <w:pPr>
              <w:suppressAutoHyphens/>
              <w:ind w:right="1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</w:tbl>
    <w:p w:rsidR="00681B37" w:rsidRDefault="00681B37" w:rsidP="00197CC3">
      <w:pPr>
        <w:jc w:val="center"/>
        <w:rPr>
          <w:rFonts w:ascii="Times New Roman" w:hAnsi="Times New Roman" w:cs="Times New Roman"/>
          <w:sz w:val="16"/>
          <w:szCs w:val="16"/>
        </w:rPr>
        <w:sectPr w:rsidR="00681B37" w:rsidSect="00244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736F" w:rsidRPr="0029736F" w:rsidRDefault="0029736F" w:rsidP="0029736F">
      <w:pPr>
        <w:rPr>
          <w:rFonts w:ascii="Times New Roman" w:hAnsi="Times New Roman" w:cs="Times New Roman"/>
          <w:sz w:val="14"/>
          <w:szCs w:val="14"/>
        </w:rPr>
      </w:pPr>
    </w:p>
    <w:p w:rsidR="00D37F51" w:rsidRDefault="00D37F51" w:rsidP="00D37F51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D37F51" w:rsidSect="0024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C3" w:rsidRDefault="00197CC3" w:rsidP="00C849D4">
      <w:pPr>
        <w:spacing w:after="0" w:line="240" w:lineRule="auto"/>
      </w:pPr>
      <w:r>
        <w:separator/>
      </w:r>
    </w:p>
  </w:endnote>
  <w:endnote w:type="continuationSeparator" w:id="0">
    <w:p w:rsidR="00197CC3" w:rsidRDefault="00197CC3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C3" w:rsidRDefault="00197CC3" w:rsidP="00C849D4">
      <w:pPr>
        <w:spacing w:after="0" w:line="240" w:lineRule="auto"/>
      </w:pPr>
      <w:r>
        <w:separator/>
      </w:r>
    </w:p>
  </w:footnote>
  <w:footnote w:type="continuationSeparator" w:id="0">
    <w:p w:rsidR="00197CC3" w:rsidRDefault="00197CC3" w:rsidP="00C849D4">
      <w:pPr>
        <w:spacing w:after="0" w:line="240" w:lineRule="auto"/>
      </w:pPr>
      <w:r>
        <w:continuationSeparator/>
      </w:r>
    </w:p>
  </w:footnote>
  <w:footnote w:id="1">
    <w:p w:rsidR="00197CC3" w:rsidRPr="00753369" w:rsidRDefault="00197CC3" w:rsidP="00297AA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753369">
        <w:rPr>
          <w:rFonts w:ascii="Times New Roman" w:eastAsia="Calibri" w:hAnsi="Times New Roman" w:cs="Times New Roman"/>
          <w:b/>
          <w:sz w:val="18"/>
          <w:szCs w:val="18"/>
          <w:u w:val="single"/>
          <w:vertAlign w:val="superscript"/>
        </w:rPr>
        <w:footnoteRef/>
      </w:r>
      <w:r w:rsidRPr="00753369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UWAGA! Jeżeli poszczególne elementy posiadają różne stawki % VAT, należy wpisać wartości oddzielnie dla każdej stawki</w:t>
      </w:r>
    </w:p>
  </w:footnote>
  <w:footnote w:id="2">
    <w:p w:rsidR="00197CC3" w:rsidRPr="00753369" w:rsidRDefault="00197CC3">
      <w:pPr>
        <w:pStyle w:val="Tekstprzypisudolnego"/>
        <w:rPr>
          <w:rFonts w:ascii="Times New Roman" w:hAnsi="Times New Roman" w:cs="Times New Roman"/>
        </w:rPr>
      </w:pPr>
      <w:r w:rsidRPr="00753369">
        <w:rPr>
          <w:rStyle w:val="Odwoanieprzypisudolnego"/>
          <w:rFonts w:ascii="Times New Roman" w:hAnsi="Times New Roman" w:cs="Times New Roman"/>
        </w:rPr>
        <w:footnoteRef/>
      </w:r>
      <w:r w:rsidRPr="00753369">
        <w:rPr>
          <w:rFonts w:ascii="Times New Roman" w:hAnsi="Times New Roman" w:cs="Times New Roman"/>
        </w:rPr>
        <w:t xml:space="preserve"> Odpowiedź NIE w przypadku parametrów wymaganych  powoduje odrzucenie oferty</w:t>
      </w:r>
    </w:p>
  </w:footnote>
  <w:footnote w:id="3">
    <w:p w:rsidR="00197CC3" w:rsidRDefault="00197CC3" w:rsidP="00753369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4">
    <w:p w:rsidR="00197CC3" w:rsidRDefault="00197C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3369">
        <w:rPr>
          <w:rFonts w:ascii="Times New Roman" w:hAnsi="Times New Roman" w:cs="Times New Roman"/>
        </w:rPr>
        <w:t>Odpowiedź NIE w przypadku parametrów wymaganych  powoduje odrzucenie oferty</w:t>
      </w:r>
    </w:p>
  </w:footnote>
  <w:footnote w:id="5">
    <w:p w:rsidR="00197CC3" w:rsidRDefault="00197CC3" w:rsidP="00753369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792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4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852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72DF1585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65"/>
    <w:rsid w:val="000151EC"/>
    <w:rsid w:val="00054AA2"/>
    <w:rsid w:val="0017394C"/>
    <w:rsid w:val="001860F7"/>
    <w:rsid w:val="00197CC3"/>
    <w:rsid w:val="001A4C26"/>
    <w:rsid w:val="001E45BE"/>
    <w:rsid w:val="001E5FE7"/>
    <w:rsid w:val="001F10AB"/>
    <w:rsid w:val="0024177D"/>
    <w:rsid w:val="00244C6F"/>
    <w:rsid w:val="0029736F"/>
    <w:rsid w:val="00297AA6"/>
    <w:rsid w:val="002E3E88"/>
    <w:rsid w:val="00333FAC"/>
    <w:rsid w:val="004054A8"/>
    <w:rsid w:val="00412C3A"/>
    <w:rsid w:val="00462585"/>
    <w:rsid w:val="00572996"/>
    <w:rsid w:val="005A13D5"/>
    <w:rsid w:val="005C7849"/>
    <w:rsid w:val="005E6CD2"/>
    <w:rsid w:val="00603AEA"/>
    <w:rsid w:val="0065125E"/>
    <w:rsid w:val="00681B37"/>
    <w:rsid w:val="006C2D01"/>
    <w:rsid w:val="006E0065"/>
    <w:rsid w:val="00705E71"/>
    <w:rsid w:val="00753369"/>
    <w:rsid w:val="007A48F5"/>
    <w:rsid w:val="007C510B"/>
    <w:rsid w:val="0086371D"/>
    <w:rsid w:val="008F37F0"/>
    <w:rsid w:val="00914FD6"/>
    <w:rsid w:val="00966D98"/>
    <w:rsid w:val="00984C94"/>
    <w:rsid w:val="00987122"/>
    <w:rsid w:val="0099035D"/>
    <w:rsid w:val="00996DE2"/>
    <w:rsid w:val="009A1BB5"/>
    <w:rsid w:val="00A1270F"/>
    <w:rsid w:val="00A203B8"/>
    <w:rsid w:val="00A23BA4"/>
    <w:rsid w:val="00AA1745"/>
    <w:rsid w:val="00AF7BC1"/>
    <w:rsid w:val="00B104B0"/>
    <w:rsid w:val="00BA4D75"/>
    <w:rsid w:val="00BE51DC"/>
    <w:rsid w:val="00BF1421"/>
    <w:rsid w:val="00C849D4"/>
    <w:rsid w:val="00CB0C97"/>
    <w:rsid w:val="00CC2107"/>
    <w:rsid w:val="00CD2987"/>
    <w:rsid w:val="00CE2C65"/>
    <w:rsid w:val="00CF6F9B"/>
    <w:rsid w:val="00D37F51"/>
    <w:rsid w:val="00D61DE3"/>
    <w:rsid w:val="00D91354"/>
    <w:rsid w:val="00D931FB"/>
    <w:rsid w:val="00DD0887"/>
    <w:rsid w:val="00DF63F2"/>
    <w:rsid w:val="00E17938"/>
    <w:rsid w:val="00E9772D"/>
    <w:rsid w:val="00EC589A"/>
    <w:rsid w:val="00EF2AAD"/>
    <w:rsid w:val="00F11190"/>
    <w:rsid w:val="00F52EC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q4iawc">
    <w:name w:val="q4iawc"/>
    <w:rsid w:val="0029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D0B5-F4E8-4709-8FC0-894D7244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10</cp:revision>
  <cp:lastPrinted>2024-03-12T07:24:00Z</cp:lastPrinted>
  <dcterms:created xsi:type="dcterms:W3CDTF">2024-04-18T06:35:00Z</dcterms:created>
  <dcterms:modified xsi:type="dcterms:W3CDTF">2024-04-18T08:26:00Z</dcterms:modified>
</cp:coreProperties>
</file>