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0CE2F879" w14:textId="77777777" w:rsidR="003F326A" w:rsidRDefault="003F326A" w:rsidP="003F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14:paraId="7A62DED2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EB922B" w14:textId="77777777" w:rsidR="00500A94" w:rsidRDefault="00F376B2" w:rsidP="00500A94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„Remont odtworzeniowy ogrodzenia cmentarza żydowskiego w Tarnowskich Górach</w:t>
      </w:r>
    </w:p>
    <w:p w14:paraId="65B6649E" w14:textId="50B3B31F" w:rsidR="00F376B2" w:rsidRDefault="00F376B2" w:rsidP="00500A94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przy ul. </w:t>
      </w:r>
      <w:r w:rsidRPr="00500A94">
        <w:rPr>
          <w:rFonts w:ascii="Arial" w:hAnsi="Arial" w:cs="Arial"/>
          <w:b/>
          <w:bCs/>
          <w:color w:val="auto"/>
          <w:sz w:val="20"/>
          <w:szCs w:val="20"/>
        </w:rPr>
        <w:t>Gliwickiej 66 – etap I</w:t>
      </w:r>
      <w:r w:rsidRPr="00500A94">
        <w:rPr>
          <w:rFonts w:ascii="Arial" w:hAnsi="Arial" w:cs="Arial"/>
          <w:color w:val="auto"/>
          <w:sz w:val="20"/>
          <w:szCs w:val="20"/>
        </w:rPr>
        <w:t>”</w:t>
      </w:r>
    </w:p>
    <w:p w14:paraId="3E0B0637" w14:textId="107EA616" w:rsidR="003F326A" w:rsidRPr="006D6899" w:rsidRDefault="003F326A" w:rsidP="003F326A">
      <w:pPr>
        <w:jc w:val="center"/>
        <w:rPr>
          <w:rFonts w:ascii="Arial" w:hAnsi="Arial" w:cs="Arial"/>
          <w:b/>
          <w:color w:val="FF0000"/>
        </w:rPr>
      </w:pPr>
    </w:p>
    <w:p w14:paraId="1E11A158" w14:textId="77777777" w:rsidR="003F326A" w:rsidRDefault="003F326A" w:rsidP="003F326A">
      <w:pPr>
        <w:jc w:val="center"/>
        <w:rPr>
          <w:rFonts w:ascii="Arial" w:hAnsi="Arial" w:cs="Arial"/>
          <w:b/>
        </w:rPr>
      </w:pPr>
    </w:p>
    <w:p w14:paraId="5CC6661A" w14:textId="0E7EDB3F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oświadczam,</w:t>
      </w:r>
      <w:r w:rsidR="00E746B8">
        <w:rPr>
          <w:rFonts w:ascii="Arial" w:hAnsi="Arial" w:cs="Arial"/>
        </w:rPr>
        <w:t xml:space="preserve">              </w:t>
      </w:r>
      <w:r w:rsidRPr="00C82716">
        <w:rPr>
          <w:rFonts w:ascii="Arial" w:hAnsi="Arial" w:cs="Arial"/>
        </w:rPr>
        <w:t xml:space="preserve">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664C1F57" w:rsidR="00186F17" w:rsidRDefault="00186F17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2EBAAA90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F6C1" w14:textId="77777777" w:rsidR="008A7182" w:rsidRDefault="008A7182" w:rsidP="00303CF1">
      <w:r>
        <w:separator/>
      </w:r>
    </w:p>
  </w:endnote>
  <w:endnote w:type="continuationSeparator" w:id="0">
    <w:p w14:paraId="5A563B74" w14:textId="77777777" w:rsidR="008A7182" w:rsidRDefault="008A718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B2">
          <w:rPr>
            <w:noProof/>
          </w:rPr>
          <w:t>3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95A7" w14:textId="77777777" w:rsidR="008A7182" w:rsidRDefault="008A7182" w:rsidP="00303CF1">
      <w:r>
        <w:separator/>
      </w:r>
    </w:p>
  </w:footnote>
  <w:footnote w:type="continuationSeparator" w:id="0">
    <w:p w14:paraId="17C23C02" w14:textId="77777777" w:rsidR="008A7182" w:rsidRDefault="008A718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44952">
    <w:abstractNumId w:val="1"/>
  </w:num>
  <w:num w:numId="2" w16cid:durableId="17909708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8161">
    <w:abstractNumId w:val="7"/>
  </w:num>
  <w:num w:numId="4" w16cid:durableId="1791321946">
    <w:abstractNumId w:val="1"/>
  </w:num>
  <w:num w:numId="5" w16cid:durableId="1929532496">
    <w:abstractNumId w:val="16"/>
  </w:num>
  <w:num w:numId="6" w16cid:durableId="76756379">
    <w:abstractNumId w:val="8"/>
  </w:num>
  <w:num w:numId="7" w16cid:durableId="1732384132">
    <w:abstractNumId w:val="6"/>
  </w:num>
  <w:num w:numId="8" w16cid:durableId="310066836">
    <w:abstractNumId w:val="13"/>
  </w:num>
  <w:num w:numId="9" w16cid:durableId="884218551">
    <w:abstractNumId w:val="9"/>
  </w:num>
  <w:num w:numId="10" w16cid:durableId="850291822">
    <w:abstractNumId w:val="2"/>
  </w:num>
  <w:num w:numId="11" w16cid:durableId="1635021304">
    <w:abstractNumId w:val="4"/>
  </w:num>
  <w:num w:numId="12" w16cid:durableId="16367616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451559">
    <w:abstractNumId w:val="3"/>
  </w:num>
  <w:num w:numId="14" w16cid:durableId="1034769638">
    <w:abstractNumId w:val="17"/>
  </w:num>
  <w:num w:numId="15" w16cid:durableId="522015612">
    <w:abstractNumId w:val="14"/>
  </w:num>
  <w:num w:numId="16" w16cid:durableId="1449815758">
    <w:abstractNumId w:val="0"/>
  </w:num>
  <w:num w:numId="17" w16cid:durableId="1719015988">
    <w:abstractNumId w:val="5"/>
  </w:num>
  <w:num w:numId="18" w16cid:durableId="907572186">
    <w:abstractNumId w:val="11"/>
  </w:num>
  <w:num w:numId="19" w16cid:durableId="1951545595">
    <w:abstractNumId w:val="10"/>
  </w:num>
  <w:num w:numId="20" w16cid:durableId="1192497165">
    <w:abstractNumId w:val="15"/>
  </w:num>
  <w:num w:numId="21" w16cid:durableId="241184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B493D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2F6077"/>
    <w:rsid w:val="00303CF1"/>
    <w:rsid w:val="00322B81"/>
    <w:rsid w:val="00330323"/>
    <w:rsid w:val="00370C0F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00A94"/>
    <w:rsid w:val="005318CC"/>
    <w:rsid w:val="00537EBA"/>
    <w:rsid w:val="005472DE"/>
    <w:rsid w:val="0056376B"/>
    <w:rsid w:val="005775FC"/>
    <w:rsid w:val="0058491D"/>
    <w:rsid w:val="005C6DBE"/>
    <w:rsid w:val="005E05A7"/>
    <w:rsid w:val="005E3077"/>
    <w:rsid w:val="005E62C3"/>
    <w:rsid w:val="006161C2"/>
    <w:rsid w:val="006351C6"/>
    <w:rsid w:val="0064612A"/>
    <w:rsid w:val="0066570B"/>
    <w:rsid w:val="00676907"/>
    <w:rsid w:val="00691169"/>
    <w:rsid w:val="006A213F"/>
    <w:rsid w:val="006A5489"/>
    <w:rsid w:val="006A5BF4"/>
    <w:rsid w:val="006D6899"/>
    <w:rsid w:val="006E2ED2"/>
    <w:rsid w:val="00703B45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A7182"/>
    <w:rsid w:val="008B1903"/>
    <w:rsid w:val="008E498E"/>
    <w:rsid w:val="00900E8D"/>
    <w:rsid w:val="009037C3"/>
    <w:rsid w:val="00904D63"/>
    <w:rsid w:val="009747FC"/>
    <w:rsid w:val="0098260C"/>
    <w:rsid w:val="009D11BF"/>
    <w:rsid w:val="00A23991"/>
    <w:rsid w:val="00A40281"/>
    <w:rsid w:val="00A93B33"/>
    <w:rsid w:val="00B33456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64E45"/>
    <w:rsid w:val="00D866EA"/>
    <w:rsid w:val="00D90545"/>
    <w:rsid w:val="00DC326D"/>
    <w:rsid w:val="00DC6ADB"/>
    <w:rsid w:val="00DD7B9B"/>
    <w:rsid w:val="00E746B8"/>
    <w:rsid w:val="00EC10BF"/>
    <w:rsid w:val="00F33722"/>
    <w:rsid w:val="00F376B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6B2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CB77-757D-4E41-9A2F-E827B6C1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3</cp:revision>
  <cp:lastPrinted>2022-06-29T09:11:00Z</cp:lastPrinted>
  <dcterms:created xsi:type="dcterms:W3CDTF">2022-12-05T09:49:00Z</dcterms:created>
  <dcterms:modified xsi:type="dcterms:W3CDTF">2022-12-21T08:22:00Z</dcterms:modified>
</cp:coreProperties>
</file>