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8F" w:rsidRPr="00D35A18" w:rsidRDefault="00FC508F" w:rsidP="00FC508F">
      <w:pPr>
        <w:rPr>
          <w:rFonts w:ascii="Arial" w:hAnsi="Arial" w:cs="Arial"/>
        </w:rPr>
      </w:pPr>
    </w:p>
    <w:p w:rsidR="00FC508F" w:rsidRPr="00FB305A" w:rsidRDefault="005963AA" w:rsidP="00FB305A">
      <w:pPr>
        <w:spacing w:after="120"/>
        <w:jc w:val="center"/>
        <w:rPr>
          <w:rFonts w:ascii="Verdana" w:hAnsi="Verdana" w:cs="Arial"/>
          <w:b/>
          <w:u w:val="single"/>
        </w:rPr>
      </w:pPr>
      <w:r w:rsidRPr="00FB305A">
        <w:rPr>
          <w:rFonts w:ascii="Verdana" w:hAnsi="Verdana" w:cs="Arial"/>
          <w:b/>
          <w:u w:val="single"/>
        </w:rPr>
        <w:t>Opis przedmiotu zamówienia</w:t>
      </w:r>
    </w:p>
    <w:p w:rsidR="00D35A18" w:rsidRPr="00FB305A" w:rsidRDefault="00D35A18" w:rsidP="00FB305A">
      <w:pPr>
        <w:spacing w:after="120"/>
        <w:jc w:val="both"/>
        <w:rPr>
          <w:rFonts w:ascii="Verdana" w:hAnsi="Verdana" w:cs="Arial"/>
        </w:rPr>
      </w:pPr>
    </w:p>
    <w:p w:rsidR="00FB305A" w:rsidRPr="00FB305A" w:rsidRDefault="00FB305A" w:rsidP="00FB305A">
      <w:pPr>
        <w:spacing w:after="120"/>
        <w:jc w:val="both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hAnsi="Verdana" w:cs="Arial"/>
        </w:rPr>
        <w:t>Przedmiotem zamówienia jest: „</w:t>
      </w:r>
      <w:r w:rsidRPr="00FB305A">
        <w:rPr>
          <w:rFonts w:ascii="Verdana" w:eastAsiaTheme="minorHAnsi" w:hAnsi="Verdana" w:cs="Verdana"/>
          <w:lang w:eastAsia="en-US"/>
        </w:rPr>
        <w:t>Zakup urządzeń do pomiaru i rejestracji ciśnienia oraz przepływów na sieci wodociągowej</w:t>
      </w:r>
      <w:r w:rsidRPr="00FB305A">
        <w:rPr>
          <w:rFonts w:ascii="Verdana" w:eastAsiaTheme="minorHAnsi" w:hAnsi="Verdana" w:cs="Verdana"/>
          <w:lang w:eastAsia="en-US"/>
        </w:rPr>
        <w:t>, z podziałem na dwie części”:</w:t>
      </w:r>
    </w:p>
    <w:p w:rsidR="00FB305A" w:rsidRPr="00FB305A" w:rsidRDefault="00FB305A" w:rsidP="00FB305A">
      <w:pPr>
        <w:spacing w:after="120"/>
        <w:jc w:val="both"/>
        <w:rPr>
          <w:rFonts w:ascii="Verdana" w:eastAsiaTheme="minorHAnsi" w:hAnsi="Verdana" w:cs="Verdana"/>
          <w:lang w:eastAsia="en-US"/>
        </w:rPr>
      </w:pP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 xml:space="preserve">Część nr 1: „Zakup </w:t>
      </w:r>
      <w:r w:rsidRPr="00FB305A">
        <w:rPr>
          <w:rFonts w:ascii="Verdana" w:eastAsiaTheme="minorHAnsi" w:hAnsi="Verdana" w:cs="Verdana"/>
          <w:lang w:eastAsia="en-US"/>
        </w:rPr>
        <w:t>10 kompletów urządzeń do pomiaru</w:t>
      </w:r>
      <w:r w:rsidRPr="00FB305A">
        <w:rPr>
          <w:rFonts w:ascii="Verdana" w:eastAsiaTheme="minorHAnsi" w:hAnsi="Verdana" w:cs="Verdana"/>
          <w:lang w:eastAsia="en-US"/>
        </w:rPr>
        <w:t xml:space="preserve"> </w:t>
      </w:r>
      <w:r w:rsidRPr="00FB305A">
        <w:rPr>
          <w:rFonts w:ascii="Verdana" w:eastAsiaTheme="minorHAnsi" w:hAnsi="Verdana" w:cs="Verdana"/>
          <w:lang w:eastAsia="en-US"/>
        </w:rPr>
        <w:t>i rejestracji ciśnienia oraz</w:t>
      </w:r>
    </w:p>
    <w:p w:rsid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przepływów na sieci wodociągowej</w:t>
      </w:r>
      <w:r w:rsidR="009C1D2E">
        <w:rPr>
          <w:rFonts w:ascii="Verdana" w:eastAsiaTheme="minorHAnsi" w:hAnsi="Verdana" w:cs="Verdana"/>
          <w:lang w:eastAsia="en-US"/>
        </w:rPr>
        <w:t xml:space="preserve"> </w:t>
      </w:r>
      <w:r w:rsidR="009C1D2E">
        <w:rPr>
          <w:rFonts w:ascii="Verdana" w:eastAsiaTheme="minorHAnsi" w:hAnsi="Verdana" w:cs="Verdana"/>
          <w:lang w:eastAsia="en-US"/>
        </w:rPr>
        <w:t xml:space="preserve">typu </w:t>
      </w:r>
      <w:proofErr w:type="spellStart"/>
      <w:r w:rsidR="009C1D2E">
        <w:rPr>
          <w:rFonts w:ascii="Verdana" w:eastAsiaTheme="minorHAnsi" w:hAnsi="Verdana" w:cs="Verdana"/>
          <w:lang w:eastAsia="en-US"/>
        </w:rPr>
        <w:t>CellBox</w:t>
      </w:r>
      <w:proofErr w:type="spellEnd"/>
      <w:r w:rsidR="009C1D2E">
        <w:rPr>
          <w:rFonts w:ascii="Verdana" w:eastAsiaTheme="minorHAnsi" w:hAnsi="Verdana" w:cs="Verdana"/>
          <w:lang w:eastAsia="en-US"/>
        </w:rPr>
        <w:t xml:space="preserve"> H3 firmy </w:t>
      </w:r>
      <w:proofErr w:type="spellStart"/>
      <w:r w:rsidR="009C1D2E">
        <w:rPr>
          <w:rFonts w:ascii="Verdana" w:eastAsiaTheme="minorHAnsi" w:hAnsi="Verdana" w:cs="Verdana"/>
          <w:lang w:eastAsia="en-US"/>
        </w:rPr>
        <w:t>Aqard</w:t>
      </w:r>
      <w:proofErr w:type="spellEnd"/>
      <w:r w:rsidR="009C1D2E">
        <w:rPr>
          <w:rFonts w:ascii="Verdana" w:eastAsiaTheme="minorHAnsi" w:hAnsi="Verdana" w:cs="Verdana"/>
          <w:lang w:eastAsia="en-US"/>
        </w:rPr>
        <w:t>”</w:t>
      </w:r>
      <w:r w:rsidRPr="00FB305A">
        <w:rPr>
          <w:rFonts w:ascii="Verdana" w:eastAsiaTheme="minorHAnsi" w:hAnsi="Verdana" w:cs="Verdana"/>
          <w:lang w:eastAsia="en-US"/>
        </w:rPr>
        <w:t>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Część nr 2: „Zakup pr</w:t>
      </w:r>
      <w:r w:rsidRPr="00FB305A">
        <w:rPr>
          <w:rFonts w:ascii="Verdana" w:eastAsiaTheme="minorHAnsi" w:hAnsi="Verdana" w:cs="Verdana"/>
          <w:lang w:eastAsia="en-US"/>
        </w:rPr>
        <w:t>zepływomierz</w:t>
      </w:r>
      <w:r w:rsidRPr="00FB305A">
        <w:rPr>
          <w:rFonts w:ascii="Verdana" w:eastAsiaTheme="minorHAnsi" w:hAnsi="Verdana" w:cs="Verdana"/>
          <w:lang w:eastAsia="en-US"/>
        </w:rPr>
        <w:t xml:space="preserve">y akumulatorowych </w:t>
      </w:r>
      <w:r w:rsidRPr="00FB305A">
        <w:rPr>
          <w:rFonts w:ascii="Verdana" w:eastAsiaTheme="minorHAnsi" w:hAnsi="Verdana" w:cs="Verdana"/>
          <w:lang w:eastAsia="en-US"/>
        </w:rPr>
        <w:t>AquaMaster4 FEW432</w:t>
      </w:r>
      <w:r w:rsidRPr="00FB305A">
        <w:rPr>
          <w:rFonts w:ascii="Verdana" w:eastAsiaTheme="minorHAnsi" w:hAnsi="Verdana" w:cs="Verdana"/>
          <w:lang w:eastAsia="en-US"/>
        </w:rPr>
        <w:t>”.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</w:p>
    <w:p w:rsidR="00FB305A" w:rsidRPr="007B510E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b/>
          <w:u w:val="single"/>
          <w:lang w:eastAsia="en-US"/>
        </w:rPr>
      </w:pPr>
      <w:r w:rsidRPr="007B510E">
        <w:rPr>
          <w:rFonts w:ascii="Verdana" w:eastAsiaTheme="minorHAnsi" w:hAnsi="Verdana" w:cs="Verdana"/>
          <w:b/>
          <w:u w:val="single"/>
          <w:lang w:eastAsia="en-US"/>
        </w:rPr>
        <w:t>Opis przedmiotu zamówienia dla części nr 1:</w:t>
      </w:r>
    </w:p>
    <w:p w:rsidR="00FB305A" w:rsidRPr="007B510E" w:rsidRDefault="003F14A9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7B510E">
        <w:rPr>
          <w:rFonts w:ascii="Arial" w:hAnsi="Arial" w:cs="Arial"/>
        </w:rPr>
        <w:t>Kod CPV:</w:t>
      </w:r>
      <w:r w:rsidRPr="007B510E">
        <w:rPr>
          <w:rFonts w:ascii="Arial" w:hAnsi="Arial" w:cs="Arial"/>
        </w:rPr>
        <w:t xml:space="preserve"> </w:t>
      </w:r>
      <w:r w:rsidRPr="007B510E">
        <w:rPr>
          <w:rFonts w:ascii="Verdana" w:eastAsiaTheme="minorHAnsi" w:hAnsi="Verdana" w:cs="Verdana"/>
          <w:lang w:eastAsia="en-US"/>
        </w:rPr>
        <w:t>32260000-3</w:t>
      </w:r>
    </w:p>
    <w:p w:rsidR="00FB305A" w:rsidRPr="007B510E" w:rsidRDefault="007B510E" w:rsidP="007B510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Verdana" w:eastAsiaTheme="minorHAnsi" w:hAnsi="Verdana" w:cs="Verdana"/>
          <w:lang w:eastAsia="en-US"/>
        </w:rPr>
      </w:pPr>
      <w:r w:rsidRPr="007B510E">
        <w:rPr>
          <w:rFonts w:ascii="Verdana" w:eastAsiaTheme="minorHAnsi" w:hAnsi="Verdana" w:cs="Verdana"/>
          <w:lang w:eastAsia="en-US"/>
        </w:rPr>
        <w:t xml:space="preserve">Przedmiotem </w:t>
      </w:r>
      <w:r w:rsidR="00FB305A" w:rsidRPr="007B510E">
        <w:rPr>
          <w:rFonts w:ascii="Verdana" w:eastAsiaTheme="minorHAnsi" w:hAnsi="Verdana" w:cs="Verdana"/>
          <w:lang w:eastAsia="en-US"/>
        </w:rPr>
        <w:t>zamówienia jest zakup 10 kompletów urządzeń do pomiaru i rejestracji</w:t>
      </w:r>
      <w:r>
        <w:rPr>
          <w:rFonts w:ascii="Verdana" w:eastAsiaTheme="minorHAnsi" w:hAnsi="Verdana" w:cs="Verdana"/>
          <w:lang w:eastAsia="en-US"/>
        </w:rPr>
        <w:t xml:space="preserve"> </w:t>
      </w:r>
      <w:r w:rsidR="00FB305A" w:rsidRPr="007B510E">
        <w:rPr>
          <w:rFonts w:ascii="Verdana" w:eastAsiaTheme="minorHAnsi" w:hAnsi="Verdana" w:cs="Verdana"/>
          <w:lang w:eastAsia="en-US"/>
        </w:rPr>
        <w:t xml:space="preserve">ciśnienia oraz przepływów na sieci wodociągowej typu </w:t>
      </w:r>
      <w:proofErr w:type="spellStart"/>
      <w:r w:rsidR="00FB305A" w:rsidRPr="007B510E">
        <w:rPr>
          <w:rFonts w:ascii="Verdana" w:eastAsiaTheme="minorHAnsi" w:hAnsi="Verdana" w:cs="Verdana"/>
          <w:lang w:eastAsia="en-US"/>
        </w:rPr>
        <w:t>CellBox</w:t>
      </w:r>
      <w:proofErr w:type="spellEnd"/>
      <w:r w:rsidR="00FB305A" w:rsidRPr="007B510E">
        <w:rPr>
          <w:rFonts w:ascii="Verdana" w:eastAsiaTheme="minorHAnsi" w:hAnsi="Verdana" w:cs="Verdana"/>
          <w:lang w:eastAsia="en-US"/>
        </w:rPr>
        <w:t xml:space="preserve"> H3 firmy </w:t>
      </w:r>
      <w:proofErr w:type="spellStart"/>
      <w:r w:rsidR="00FB305A" w:rsidRPr="007B510E">
        <w:rPr>
          <w:rFonts w:ascii="Verdana" w:eastAsiaTheme="minorHAnsi" w:hAnsi="Verdana" w:cs="Verdana"/>
          <w:lang w:eastAsia="en-US"/>
        </w:rPr>
        <w:t>Aqard</w:t>
      </w:r>
      <w:proofErr w:type="spellEnd"/>
      <w:r w:rsidRPr="007B510E">
        <w:rPr>
          <w:rFonts w:ascii="Verdana" w:eastAsiaTheme="minorHAnsi" w:hAnsi="Verdana" w:cs="Verdana"/>
          <w:lang w:eastAsia="en-US"/>
        </w:rPr>
        <w:t>.</w:t>
      </w:r>
    </w:p>
    <w:p w:rsidR="00FB305A" w:rsidRPr="00FB305A" w:rsidRDefault="00FB305A" w:rsidP="007B510E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W skład jednego kompletu urządzeń do pomiaru i rejestracji ciśnienia oraz</w:t>
      </w:r>
      <w:r w:rsidR="007B510E">
        <w:rPr>
          <w:rFonts w:ascii="Verdana" w:eastAsiaTheme="minorHAnsi" w:hAnsi="Verdana" w:cs="Verdana"/>
          <w:lang w:eastAsia="en-US"/>
        </w:rPr>
        <w:t xml:space="preserve"> </w:t>
      </w:r>
      <w:r w:rsidRPr="00FB305A">
        <w:rPr>
          <w:rFonts w:ascii="Verdana" w:eastAsiaTheme="minorHAnsi" w:hAnsi="Verdana" w:cs="Verdana"/>
          <w:lang w:eastAsia="en-US"/>
        </w:rPr>
        <w:t xml:space="preserve">przepływów na sieci wodociągowej typu </w:t>
      </w:r>
      <w:proofErr w:type="spellStart"/>
      <w:r w:rsidRPr="00FB305A">
        <w:rPr>
          <w:rFonts w:ascii="Verdana" w:eastAsiaTheme="minorHAnsi" w:hAnsi="Verdana" w:cs="Verdana"/>
          <w:lang w:eastAsia="en-US"/>
        </w:rPr>
        <w:t>CellBox</w:t>
      </w:r>
      <w:proofErr w:type="spellEnd"/>
      <w:r w:rsidRPr="00FB305A">
        <w:rPr>
          <w:rFonts w:ascii="Verdana" w:eastAsiaTheme="minorHAnsi" w:hAnsi="Verdana" w:cs="Verdana"/>
          <w:lang w:eastAsia="en-US"/>
        </w:rPr>
        <w:t xml:space="preserve"> wchodzą następujące elementy:</w:t>
      </w:r>
    </w:p>
    <w:p w:rsidR="00FB305A" w:rsidRPr="00FB305A" w:rsidRDefault="00FB305A" w:rsidP="007B510E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 xml:space="preserve">• Rejestrator </w:t>
      </w:r>
      <w:proofErr w:type="spellStart"/>
      <w:r w:rsidRPr="00FB305A">
        <w:rPr>
          <w:rFonts w:ascii="Verdana" w:eastAsiaTheme="minorHAnsi" w:hAnsi="Verdana" w:cs="Verdana"/>
          <w:lang w:eastAsia="en-US"/>
        </w:rPr>
        <w:t>CellBOX</w:t>
      </w:r>
      <w:proofErr w:type="spellEnd"/>
      <w:r w:rsidRPr="00FB305A">
        <w:rPr>
          <w:rFonts w:ascii="Verdana" w:eastAsiaTheme="minorHAnsi" w:hAnsi="Verdana" w:cs="Verdana"/>
          <w:lang w:eastAsia="en-US"/>
        </w:rPr>
        <w:t xml:space="preserve"> H3 IP68,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 xml:space="preserve">• Akumulator </w:t>
      </w:r>
      <w:proofErr w:type="spellStart"/>
      <w:r w:rsidRPr="00FB305A">
        <w:rPr>
          <w:rFonts w:ascii="Verdana" w:eastAsiaTheme="minorHAnsi" w:hAnsi="Verdana" w:cs="Verdana"/>
          <w:lang w:eastAsia="en-US"/>
        </w:rPr>
        <w:t>AkuBoX</w:t>
      </w:r>
      <w:proofErr w:type="spellEnd"/>
      <w:r w:rsidRPr="00FB305A">
        <w:rPr>
          <w:rFonts w:ascii="Verdana" w:eastAsiaTheme="minorHAnsi" w:hAnsi="Verdana" w:cs="Verdana"/>
          <w:lang w:eastAsia="en-US"/>
        </w:rPr>
        <w:t>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• Puszka podłączeniowa,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• Antena z kablem.</w:t>
      </w:r>
    </w:p>
    <w:p w:rsidR="007B510E" w:rsidRPr="007B510E" w:rsidRDefault="007B510E" w:rsidP="007B510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Verdana" w:hAnsi="Verdana" w:cs="Arial"/>
        </w:rPr>
      </w:pPr>
      <w:r w:rsidRPr="007B510E">
        <w:rPr>
          <w:rFonts w:ascii="Verdana" w:hAnsi="Verdana" w:cs="Arial"/>
          <w:b/>
        </w:rPr>
        <w:t>Wymagany termin gwarancji:</w:t>
      </w:r>
      <w:r w:rsidRPr="007B510E">
        <w:rPr>
          <w:rFonts w:ascii="Verdana" w:hAnsi="Verdana" w:cs="Arial"/>
        </w:rPr>
        <w:t xml:space="preserve">  </w:t>
      </w:r>
      <w:r w:rsidRPr="007B510E">
        <w:rPr>
          <w:rFonts w:ascii="Verdana" w:hAnsi="Verdana" w:cs="Arial"/>
          <w:b/>
          <w:u w:val="single"/>
        </w:rPr>
        <w:t>24 miesiące gwarancji.</w:t>
      </w:r>
      <w:r w:rsidRPr="007B510E">
        <w:rPr>
          <w:rFonts w:ascii="Verdana" w:hAnsi="Verdana" w:cs="Arial"/>
        </w:rPr>
        <w:t xml:space="preserve"> </w:t>
      </w:r>
    </w:p>
    <w:p w:rsidR="007B510E" w:rsidRPr="007B510E" w:rsidRDefault="007B510E" w:rsidP="007B510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Verdana" w:hAnsi="Verdana" w:cs="Arial"/>
        </w:rPr>
      </w:pPr>
      <w:r w:rsidRPr="007B510E">
        <w:rPr>
          <w:rFonts w:ascii="Verdana" w:hAnsi="Verdana" w:cs="Arial"/>
          <w:b/>
        </w:rPr>
        <w:t xml:space="preserve">Wymagany termin realizacji zamówienia: </w:t>
      </w:r>
      <w:r w:rsidRPr="007B510E">
        <w:rPr>
          <w:rFonts w:ascii="Verdana" w:hAnsi="Verdana" w:cs="Arial"/>
          <w:b/>
          <w:u w:val="single"/>
        </w:rPr>
        <w:t>do 18 tygodni od dnia zawarcia umowy.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</w:p>
    <w:p w:rsidR="00FB305A" w:rsidRPr="007B510E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b/>
          <w:u w:val="single"/>
          <w:lang w:eastAsia="en-US"/>
        </w:rPr>
      </w:pPr>
      <w:r w:rsidRPr="007B510E">
        <w:rPr>
          <w:rFonts w:ascii="Verdana" w:eastAsiaTheme="minorHAnsi" w:hAnsi="Verdana" w:cs="Verdana"/>
          <w:b/>
          <w:u w:val="single"/>
          <w:lang w:eastAsia="en-US"/>
        </w:rPr>
        <w:t xml:space="preserve">Opis przedmiotu zamówienia dla części nr </w:t>
      </w:r>
      <w:r w:rsidRPr="007B510E">
        <w:rPr>
          <w:rFonts w:ascii="Verdana" w:eastAsiaTheme="minorHAnsi" w:hAnsi="Verdana" w:cs="Verdana"/>
          <w:b/>
          <w:u w:val="single"/>
          <w:lang w:eastAsia="en-US"/>
        </w:rPr>
        <w:t>2</w:t>
      </w:r>
      <w:r w:rsidRPr="007B510E">
        <w:rPr>
          <w:rFonts w:ascii="Verdana" w:eastAsiaTheme="minorHAnsi" w:hAnsi="Verdana" w:cs="Verdana"/>
          <w:b/>
          <w:u w:val="single"/>
          <w:lang w:eastAsia="en-US"/>
        </w:rPr>
        <w:t>:</w:t>
      </w:r>
    </w:p>
    <w:p w:rsidR="00FB305A" w:rsidRPr="007B510E" w:rsidRDefault="003F14A9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b/>
          <w:lang w:eastAsia="en-US"/>
        </w:rPr>
      </w:pPr>
      <w:r w:rsidRPr="007B510E">
        <w:rPr>
          <w:rFonts w:ascii="Arial" w:hAnsi="Arial" w:cs="Arial"/>
          <w:b/>
        </w:rPr>
        <w:t>Kod CPV:</w:t>
      </w:r>
      <w:r w:rsidRPr="007B510E">
        <w:rPr>
          <w:rFonts w:ascii="Arial" w:hAnsi="Arial" w:cs="Arial"/>
          <w:b/>
        </w:rPr>
        <w:t xml:space="preserve"> </w:t>
      </w:r>
      <w:r w:rsidRPr="007B510E">
        <w:rPr>
          <w:rFonts w:ascii="Verdana" w:eastAsiaTheme="minorHAnsi" w:hAnsi="Verdana" w:cs="Verdana"/>
          <w:b/>
          <w:lang w:eastAsia="en-US"/>
        </w:rPr>
        <w:t>38421110-6</w:t>
      </w:r>
    </w:p>
    <w:p w:rsidR="00FB305A" w:rsidRPr="00FB305A" w:rsidRDefault="007B510E" w:rsidP="007B510E">
      <w:pPr>
        <w:suppressAutoHyphens w:val="0"/>
        <w:autoSpaceDE w:val="0"/>
        <w:autoSpaceDN w:val="0"/>
        <w:adjustRightInd w:val="0"/>
        <w:spacing w:after="12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1</w:t>
      </w:r>
      <w:r w:rsidR="00FB305A" w:rsidRPr="00FB305A">
        <w:rPr>
          <w:rFonts w:ascii="Verdana" w:eastAsiaTheme="minorHAnsi" w:hAnsi="Verdana" w:cs="Verdana"/>
          <w:lang w:eastAsia="en-US"/>
        </w:rPr>
        <w:t>) przedmiotem zamówienia jest zakup przepływomierzy bateryjny AquaMaster4</w:t>
      </w:r>
      <w:r>
        <w:rPr>
          <w:rFonts w:ascii="Verdana" w:eastAsiaTheme="minorHAnsi" w:hAnsi="Verdana" w:cs="Verdana"/>
          <w:lang w:eastAsia="en-US"/>
        </w:rPr>
        <w:t xml:space="preserve"> </w:t>
      </w:r>
      <w:r w:rsidR="00FB305A" w:rsidRPr="00FB305A">
        <w:rPr>
          <w:rFonts w:ascii="Verdana" w:eastAsiaTheme="minorHAnsi" w:hAnsi="Verdana" w:cs="Verdana"/>
          <w:lang w:eastAsia="en-US"/>
        </w:rPr>
        <w:t>FEW432 firmy ABB z czujnikiem w wersji rozłą</w:t>
      </w:r>
      <w:r>
        <w:rPr>
          <w:rFonts w:ascii="Verdana" w:eastAsiaTheme="minorHAnsi" w:hAnsi="Verdana" w:cs="Verdana"/>
          <w:lang w:eastAsia="en-US"/>
        </w:rPr>
        <w:t>cznej w następujących ilościach</w:t>
      </w:r>
      <w:r w:rsidR="00FB305A" w:rsidRPr="00FB305A">
        <w:rPr>
          <w:rFonts w:ascii="Verdana" w:eastAsiaTheme="minorHAnsi" w:hAnsi="Verdana" w:cs="Verdana"/>
          <w:lang w:eastAsia="en-US"/>
        </w:rPr>
        <w:t>: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- 3 szt. FEW432.R.0100.S2.B.R.E.81.B.M4.LPN.RCD.SC2.CWA.M9,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- 1 szt. FEW432.R.0150.S2.B.R.E.81.B.M4.LPN.RCD.SC2.CWA.M9,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- 1 szt. FEW432.R.0250.S2.B.R.E.81.B.M4.LPN.RCD.SC2.CWA.M9,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- 2 szt. FEW432.R.0300.S2.B.R.E.81.B.M4.LPN.RCD.SC2.CWA.M9,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- 1 szt. FEW432.R.0400.S2.B.R.E.81.B.M4.LPN.RCD.SC2.CWA.M9</w:t>
      </w:r>
    </w:p>
    <w:p w:rsidR="00FB305A" w:rsidRPr="007B510E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u w:val="single"/>
          <w:lang w:eastAsia="en-US"/>
        </w:rPr>
      </w:pPr>
      <w:r w:rsidRPr="007B510E">
        <w:rPr>
          <w:rFonts w:ascii="Verdana" w:eastAsiaTheme="minorHAnsi" w:hAnsi="Verdana" w:cs="Verdana"/>
          <w:u w:val="single"/>
          <w:lang w:eastAsia="en-US"/>
        </w:rPr>
        <w:t>Dodatkowo do przepływomierzy należy dostarczyć: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- 8 szt. przewodów z wtyczka typu WABC2010/03,</w:t>
      </w:r>
    </w:p>
    <w:p w:rsidR="00FB305A" w:rsidRPr="00FB305A" w:rsidRDefault="00FB305A" w:rsidP="00FB305A">
      <w:pPr>
        <w:suppressAutoHyphens w:val="0"/>
        <w:autoSpaceDE w:val="0"/>
        <w:autoSpaceDN w:val="0"/>
        <w:adjustRightInd w:val="0"/>
        <w:spacing w:after="120"/>
        <w:rPr>
          <w:rFonts w:ascii="Verdana" w:eastAsiaTheme="minorHAnsi" w:hAnsi="Verdana" w:cs="Verdana"/>
          <w:lang w:eastAsia="en-US"/>
        </w:rPr>
      </w:pPr>
      <w:r w:rsidRPr="00FB305A">
        <w:rPr>
          <w:rFonts w:ascii="Verdana" w:eastAsiaTheme="minorHAnsi" w:hAnsi="Verdana" w:cs="Verdana"/>
          <w:lang w:eastAsia="en-US"/>
        </w:rPr>
        <w:t>- 16 szt. baterii litowej ER34615 3,6V/19 Ah.</w:t>
      </w:r>
    </w:p>
    <w:p w:rsidR="007B510E" w:rsidRPr="007B510E" w:rsidRDefault="007B510E" w:rsidP="007B510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Verdana" w:hAnsi="Verdana" w:cs="Arial"/>
        </w:rPr>
      </w:pPr>
      <w:r w:rsidRPr="007B510E">
        <w:rPr>
          <w:rFonts w:ascii="Verdana" w:hAnsi="Verdana" w:cs="Arial"/>
          <w:b/>
        </w:rPr>
        <w:t>Wymagany termin gwarancji:</w:t>
      </w:r>
      <w:r w:rsidRPr="007B510E">
        <w:rPr>
          <w:rFonts w:ascii="Verdana" w:hAnsi="Verdana" w:cs="Arial"/>
        </w:rPr>
        <w:t xml:space="preserve">  </w:t>
      </w:r>
      <w:r w:rsidRPr="007B510E">
        <w:rPr>
          <w:rFonts w:ascii="Verdana" w:hAnsi="Verdana" w:cs="Arial"/>
          <w:b/>
          <w:u w:val="single"/>
        </w:rPr>
        <w:t>24 miesiące gwarancji.</w:t>
      </w:r>
      <w:r w:rsidRPr="007B510E">
        <w:rPr>
          <w:rFonts w:ascii="Verdana" w:hAnsi="Verdana" w:cs="Arial"/>
        </w:rPr>
        <w:t xml:space="preserve"> </w:t>
      </w:r>
    </w:p>
    <w:p w:rsidR="007B510E" w:rsidRPr="007B510E" w:rsidRDefault="007B510E" w:rsidP="007B510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Verdana" w:hAnsi="Verdana" w:cs="Arial"/>
        </w:rPr>
      </w:pPr>
      <w:r w:rsidRPr="007B510E">
        <w:rPr>
          <w:rFonts w:ascii="Verdana" w:hAnsi="Verdana" w:cs="Arial"/>
          <w:b/>
        </w:rPr>
        <w:t xml:space="preserve">Wymagany termin realizacji zamówienia: </w:t>
      </w:r>
      <w:r w:rsidRPr="007B510E">
        <w:rPr>
          <w:rFonts w:ascii="Verdana" w:hAnsi="Verdana" w:cs="Arial"/>
          <w:b/>
          <w:u w:val="single"/>
        </w:rPr>
        <w:t>do 18 tygodni od dnia zawarcia umowy.</w:t>
      </w:r>
    </w:p>
    <w:p w:rsidR="006E7751" w:rsidRPr="00D35A18" w:rsidRDefault="006E7751" w:rsidP="00D76943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</w:p>
    <w:p w:rsidR="006E7751" w:rsidRPr="00D35A18" w:rsidRDefault="006E7751" w:rsidP="00D76943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6E7751" w:rsidRPr="00D35A18" w:rsidSect="00F57C98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8F" w:rsidRDefault="00FC508F" w:rsidP="00FC508F">
      <w:r>
        <w:separator/>
      </w:r>
    </w:p>
  </w:endnote>
  <w:endnote w:type="continuationSeparator" w:id="0">
    <w:p w:rsidR="00FC508F" w:rsidRDefault="00FC508F" w:rsidP="00F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8F" w:rsidRDefault="00FC508F" w:rsidP="00FC508F">
      <w:r>
        <w:separator/>
      </w:r>
    </w:p>
  </w:footnote>
  <w:footnote w:type="continuationSeparator" w:id="0">
    <w:p w:rsidR="00FC508F" w:rsidRDefault="00FC508F" w:rsidP="00FC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73" w:rsidRPr="007B510E" w:rsidRDefault="00ED7D10" w:rsidP="007B510E">
    <w:pPr>
      <w:pStyle w:val="Nagwek"/>
      <w:tabs>
        <w:tab w:val="left" w:pos="7513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A27573" w:rsidRPr="007B510E">
      <w:rPr>
        <w:rFonts w:ascii="Verdana" w:hAnsi="Verdana" w:cs="Arial"/>
        <w:b/>
        <w:sz w:val="18"/>
        <w:szCs w:val="18"/>
      </w:rPr>
      <w:t>PZ</w:t>
    </w:r>
    <w:r w:rsidR="00FB305A" w:rsidRPr="007B510E">
      <w:rPr>
        <w:rFonts w:ascii="Verdana" w:hAnsi="Verdana" w:cs="Arial"/>
        <w:b/>
        <w:sz w:val="18"/>
        <w:szCs w:val="18"/>
      </w:rPr>
      <w:t>/20</w:t>
    </w:r>
    <w:r w:rsidR="00A27573" w:rsidRPr="007B510E">
      <w:rPr>
        <w:rFonts w:ascii="Verdana" w:hAnsi="Verdana" w:cs="Arial"/>
        <w:b/>
        <w:sz w:val="18"/>
        <w:szCs w:val="18"/>
      </w:rPr>
      <w:t>/2021</w:t>
    </w:r>
  </w:p>
  <w:p w:rsidR="0028192A" w:rsidRPr="007B510E" w:rsidRDefault="0028192A" w:rsidP="0028192A">
    <w:pPr>
      <w:pStyle w:val="Nagwek"/>
      <w:tabs>
        <w:tab w:val="left" w:pos="7815"/>
      </w:tabs>
      <w:jc w:val="right"/>
      <w:rPr>
        <w:rFonts w:ascii="Verdana" w:hAnsi="Verdana" w:cs="Arial"/>
        <w:b/>
        <w:sz w:val="18"/>
        <w:szCs w:val="18"/>
      </w:rPr>
    </w:pPr>
    <w:r w:rsidRPr="007B510E">
      <w:rPr>
        <w:rFonts w:ascii="Verdana" w:hAnsi="Verdana" w:cs="Arial"/>
        <w:b/>
        <w:sz w:val="18"/>
        <w:szCs w:val="18"/>
      </w:rPr>
      <w:t>Załą</w:t>
    </w:r>
    <w:r w:rsidR="005963AA" w:rsidRPr="007B510E">
      <w:rPr>
        <w:rFonts w:ascii="Verdana" w:hAnsi="Verdana" w:cs="Arial"/>
        <w:b/>
        <w:sz w:val="18"/>
        <w:szCs w:val="18"/>
      </w:rPr>
      <w:t xml:space="preserve">cznik nr </w:t>
    </w:r>
    <w:r w:rsidR="007B510E" w:rsidRPr="007B510E">
      <w:rPr>
        <w:rFonts w:ascii="Verdana" w:hAnsi="Verdana" w:cs="Arial"/>
        <w:b/>
        <w:sz w:val="18"/>
        <w:szCs w:val="18"/>
      </w:rPr>
      <w:t>2</w:t>
    </w:r>
  </w:p>
  <w:p w:rsidR="00FC508F" w:rsidRPr="00F57C98" w:rsidRDefault="00FC508F" w:rsidP="00ED7D10">
    <w:pPr>
      <w:pStyle w:val="Nagwek"/>
      <w:tabs>
        <w:tab w:val="left" w:pos="7815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74821C6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" w15:restartNumberingAfterBreak="0">
    <w:nsid w:val="06797CB0"/>
    <w:multiLevelType w:val="hybridMultilevel"/>
    <w:tmpl w:val="96501FB8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77F2"/>
    <w:multiLevelType w:val="hybridMultilevel"/>
    <w:tmpl w:val="8D18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8BD"/>
    <w:multiLevelType w:val="hybridMultilevel"/>
    <w:tmpl w:val="6AA6BFDA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867C0"/>
    <w:multiLevelType w:val="hybridMultilevel"/>
    <w:tmpl w:val="F7FAEB60"/>
    <w:lvl w:ilvl="0" w:tplc="4FACD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16E9"/>
    <w:multiLevelType w:val="hybridMultilevel"/>
    <w:tmpl w:val="7B4469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5363DC"/>
    <w:multiLevelType w:val="hybridMultilevel"/>
    <w:tmpl w:val="6622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06838"/>
    <w:multiLevelType w:val="hybridMultilevel"/>
    <w:tmpl w:val="0B8EAFC2"/>
    <w:lvl w:ilvl="0" w:tplc="5B66E6D6">
      <w:start w:val="2"/>
      <w:numFmt w:val="ordin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4EED"/>
    <w:multiLevelType w:val="hybridMultilevel"/>
    <w:tmpl w:val="D6D2F4D2"/>
    <w:lvl w:ilvl="0" w:tplc="D81E96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1B0A03"/>
    <w:multiLevelType w:val="hybridMultilevel"/>
    <w:tmpl w:val="AE546B88"/>
    <w:lvl w:ilvl="0" w:tplc="3A9A81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D7E"/>
    <w:multiLevelType w:val="hybridMultilevel"/>
    <w:tmpl w:val="602E29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779793C"/>
    <w:multiLevelType w:val="hybridMultilevel"/>
    <w:tmpl w:val="A2AE6736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9">
      <w:start w:val="1"/>
      <w:numFmt w:val="lowerLetter"/>
      <w:lvlText w:val="%2."/>
      <w:lvlJc w:val="left"/>
      <w:pPr>
        <w:ind w:left="2000" w:hanging="360"/>
      </w:pPr>
    </w:lvl>
    <w:lvl w:ilvl="2" w:tplc="0415001B">
      <w:start w:val="1"/>
      <w:numFmt w:val="lowerRoman"/>
      <w:lvlText w:val="%3."/>
      <w:lvlJc w:val="right"/>
      <w:pPr>
        <w:ind w:left="2720" w:hanging="180"/>
      </w:pPr>
    </w:lvl>
    <w:lvl w:ilvl="3" w:tplc="0415000F">
      <w:start w:val="1"/>
      <w:numFmt w:val="decimal"/>
      <w:lvlText w:val="%4."/>
      <w:lvlJc w:val="left"/>
      <w:pPr>
        <w:ind w:left="3440" w:hanging="360"/>
      </w:pPr>
    </w:lvl>
    <w:lvl w:ilvl="4" w:tplc="04150019">
      <w:start w:val="1"/>
      <w:numFmt w:val="lowerLetter"/>
      <w:lvlText w:val="%5."/>
      <w:lvlJc w:val="left"/>
      <w:pPr>
        <w:ind w:left="4160" w:hanging="360"/>
      </w:pPr>
    </w:lvl>
    <w:lvl w:ilvl="5" w:tplc="0415001B">
      <w:start w:val="1"/>
      <w:numFmt w:val="lowerRoman"/>
      <w:lvlText w:val="%6."/>
      <w:lvlJc w:val="right"/>
      <w:pPr>
        <w:ind w:left="4880" w:hanging="180"/>
      </w:pPr>
    </w:lvl>
    <w:lvl w:ilvl="6" w:tplc="0415000F">
      <w:start w:val="1"/>
      <w:numFmt w:val="decimal"/>
      <w:lvlText w:val="%7."/>
      <w:lvlJc w:val="left"/>
      <w:pPr>
        <w:ind w:left="5600" w:hanging="360"/>
      </w:pPr>
    </w:lvl>
    <w:lvl w:ilvl="7" w:tplc="04150019">
      <w:start w:val="1"/>
      <w:numFmt w:val="lowerLetter"/>
      <w:lvlText w:val="%8."/>
      <w:lvlJc w:val="left"/>
      <w:pPr>
        <w:ind w:left="6320" w:hanging="360"/>
      </w:pPr>
    </w:lvl>
    <w:lvl w:ilvl="8" w:tplc="0415001B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B3A7C65"/>
    <w:multiLevelType w:val="hybridMultilevel"/>
    <w:tmpl w:val="3B4095F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CDCC5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13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E3282"/>
    <w:multiLevelType w:val="hybridMultilevel"/>
    <w:tmpl w:val="E5F47676"/>
    <w:lvl w:ilvl="0" w:tplc="BF70DF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C7FAB"/>
    <w:multiLevelType w:val="hybridMultilevel"/>
    <w:tmpl w:val="A91AE91C"/>
    <w:lvl w:ilvl="0" w:tplc="E3FE1C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C5B8B"/>
    <w:multiLevelType w:val="hybridMultilevel"/>
    <w:tmpl w:val="EBCEE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6E35"/>
    <w:multiLevelType w:val="hybridMultilevel"/>
    <w:tmpl w:val="7F1E3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F"/>
    <w:rsid w:val="00163EA2"/>
    <w:rsid w:val="0028192A"/>
    <w:rsid w:val="00316035"/>
    <w:rsid w:val="003F14A9"/>
    <w:rsid w:val="00467425"/>
    <w:rsid w:val="005963AA"/>
    <w:rsid w:val="00596662"/>
    <w:rsid w:val="006442C7"/>
    <w:rsid w:val="006E7751"/>
    <w:rsid w:val="0077237C"/>
    <w:rsid w:val="007B510E"/>
    <w:rsid w:val="009B46E8"/>
    <w:rsid w:val="009C1D2E"/>
    <w:rsid w:val="00A27573"/>
    <w:rsid w:val="00A56B00"/>
    <w:rsid w:val="00BC1E9F"/>
    <w:rsid w:val="00D35A18"/>
    <w:rsid w:val="00D76943"/>
    <w:rsid w:val="00ED7D10"/>
    <w:rsid w:val="00F57C98"/>
    <w:rsid w:val="00F87A66"/>
    <w:rsid w:val="00FB305A"/>
    <w:rsid w:val="00FC508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6EA097B-FFC6-4F44-9F64-877C863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6943"/>
    <w:pPr>
      <w:keepNext/>
      <w:keepLines/>
      <w:widowControl w:val="0"/>
      <w:tabs>
        <w:tab w:val="left" w:pos="5672"/>
      </w:tabs>
      <w:spacing w:before="40"/>
      <w:outlineLvl w:val="2"/>
    </w:pPr>
    <w:rPr>
      <w:rFonts w:ascii="Cambria" w:hAnsi="Cambria" w:cs="Arial"/>
      <w:b/>
      <w:color w:val="243F60"/>
      <w:kern w:val="1"/>
      <w:szCs w:val="21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508F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508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rsid w:val="00FC50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0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76943"/>
    <w:rPr>
      <w:rFonts w:ascii="Cambria" w:eastAsia="Times New Roman" w:hAnsi="Cambria" w:cs="Arial"/>
      <w:b/>
      <w:color w:val="243F60"/>
      <w:kern w:val="1"/>
      <w:sz w:val="20"/>
      <w:szCs w:val="21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9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F87A66"/>
    <w:pPr>
      <w:tabs>
        <w:tab w:val="left" w:pos="5672"/>
      </w:tabs>
      <w:suppressAutoHyphens w:val="0"/>
    </w:pPr>
    <w:rPr>
      <w:rFonts w:ascii="Calibri" w:eastAsia="Calibri" w:hAnsi="Calibri"/>
      <w:b/>
      <w:lang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F87A66"/>
    <w:rPr>
      <w:rFonts w:ascii="Calibri" w:eastAsia="Calibri" w:hAnsi="Calibri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D35A1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7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Aneta Oleś</cp:lastModifiedBy>
  <cp:revision>2</cp:revision>
  <cp:lastPrinted>2021-05-05T11:42:00Z</cp:lastPrinted>
  <dcterms:created xsi:type="dcterms:W3CDTF">2021-07-23T12:32:00Z</dcterms:created>
  <dcterms:modified xsi:type="dcterms:W3CDTF">2021-07-23T12:32:00Z</dcterms:modified>
</cp:coreProperties>
</file>