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560C7" w14:textId="73A914E4" w:rsidR="00120DEB" w:rsidRPr="00120DEB" w:rsidRDefault="00120DEB" w:rsidP="00120DEB">
      <w:pPr>
        <w:jc w:val="center"/>
        <w:rPr>
          <w:rFonts w:ascii="Times New Roman" w:hAnsi="Times New Roman" w:cs="Times New Roman"/>
          <w:b/>
          <w:bCs/>
        </w:rPr>
      </w:pPr>
      <w:r w:rsidRPr="00120DEB">
        <w:rPr>
          <w:rFonts w:ascii="Times New Roman" w:hAnsi="Times New Roman" w:cs="Times New Roman"/>
          <w:b/>
          <w:bCs/>
        </w:rPr>
        <w:t>Informacje uzupełniające dotyczące dotychczasowych działań Grupy OPEC</w:t>
      </w:r>
      <w:r w:rsidRPr="00120DEB">
        <w:rPr>
          <w:rFonts w:ascii="Times New Roman" w:hAnsi="Times New Roman" w:cs="Times New Roman"/>
          <w:b/>
          <w:bCs/>
        </w:rPr>
        <w:br/>
      </w:r>
      <w:r w:rsidRPr="00120DEB">
        <w:rPr>
          <w:rFonts w:ascii="Times New Roman" w:hAnsi="Times New Roman" w:cs="Times New Roman"/>
          <w:b/>
          <w:bCs/>
        </w:rPr>
        <w:t xml:space="preserve"> w obszarze ESG</w:t>
      </w:r>
    </w:p>
    <w:p w14:paraId="21836B62" w14:textId="77777777" w:rsidR="00120DEB" w:rsidRPr="00120DEB" w:rsidRDefault="00120DEB" w:rsidP="00120DEB">
      <w:pPr>
        <w:jc w:val="both"/>
        <w:rPr>
          <w:rFonts w:ascii="Times New Roman" w:hAnsi="Times New Roman" w:cs="Times New Roman"/>
        </w:rPr>
      </w:pPr>
    </w:p>
    <w:p w14:paraId="16C08B34" w14:textId="77777777" w:rsidR="00120DEB" w:rsidRPr="00120DEB" w:rsidRDefault="00120DEB" w:rsidP="00120DEB">
      <w:pPr>
        <w:jc w:val="both"/>
        <w:rPr>
          <w:rFonts w:ascii="Times New Roman" w:hAnsi="Times New Roman" w:cs="Times New Roman"/>
          <w:color w:val="000000"/>
        </w:rPr>
      </w:pPr>
      <w:r w:rsidRPr="00120DEB">
        <w:rPr>
          <w:rFonts w:ascii="Times New Roman" w:hAnsi="Times New Roman" w:cs="Times New Roman"/>
          <w:color w:val="000000"/>
        </w:rPr>
        <w:t>OPEC GRUDZIĄDZ Sp. z o.o., jako jednostka dominująca dużej grupy, jest zobowiązana zgodnie z art. 29a dyrektywy 2013/34/UE do ujęcia w skonsolidowanym sprawozdaniu z działalności informacji niezbędnych do zrozumienia wpływu grupy na kwestie związane ze zrównoważonym rozwojem oraz informacji niezbędnych do zrozumienia wpływu kwestii związanych ze zrównoważonym rozwojem na rozwój, wyniki i sytuację grupy. Pierwsze sprawozdanie spółka OPEC GRUDZIĄDZ ma obowiązek ujawnić za 2025 rok w 2026 roku. W strukturę Grupy OPEC wchodzi OPEC GRUDZIĄDZ Sp. z o.o. (spółka dominująca) oraz spółki zależne: OPEC-BIO Sp. z o.o. i OPEC-TERMO Sp. z o.o. Łącznie Grupa OPEC zatrudnia ok. 260 pracowników.</w:t>
      </w:r>
    </w:p>
    <w:p w14:paraId="21B55D7A" w14:textId="77777777" w:rsidR="00120DEB" w:rsidRPr="00120DEB" w:rsidRDefault="00120DEB" w:rsidP="00120DEB">
      <w:pPr>
        <w:jc w:val="both"/>
        <w:rPr>
          <w:rFonts w:ascii="Times New Roman" w:hAnsi="Times New Roman" w:cs="Times New Roman"/>
        </w:rPr>
      </w:pPr>
    </w:p>
    <w:p w14:paraId="1FD7FEFC" w14:textId="77777777" w:rsidR="00120DEB" w:rsidRPr="00120DEB" w:rsidRDefault="00120DEB" w:rsidP="00120DEB">
      <w:pPr>
        <w:jc w:val="both"/>
        <w:rPr>
          <w:rFonts w:ascii="Times New Roman" w:hAnsi="Times New Roman" w:cs="Times New Roman"/>
        </w:rPr>
      </w:pPr>
    </w:p>
    <w:p w14:paraId="3C5DD8BF" w14:textId="77777777" w:rsidR="00120DEB" w:rsidRPr="00120DEB" w:rsidRDefault="00120DEB" w:rsidP="00120DEB">
      <w:pPr>
        <w:jc w:val="both"/>
        <w:rPr>
          <w:rFonts w:ascii="Times New Roman" w:hAnsi="Times New Roman" w:cs="Times New Roman"/>
        </w:rPr>
      </w:pPr>
      <w:r w:rsidRPr="00120DEB">
        <w:rPr>
          <w:rFonts w:ascii="Times New Roman" w:hAnsi="Times New Roman" w:cs="Times New Roman"/>
        </w:rPr>
        <w:t>Strategia ESG:</w:t>
      </w:r>
    </w:p>
    <w:p w14:paraId="7750F0FF" w14:textId="77777777" w:rsidR="00120DEB" w:rsidRPr="00120DEB" w:rsidRDefault="00120DEB" w:rsidP="00120DEB">
      <w:pPr>
        <w:jc w:val="both"/>
        <w:rPr>
          <w:rFonts w:ascii="Times New Roman" w:hAnsi="Times New Roman" w:cs="Times New Roman"/>
        </w:rPr>
      </w:pPr>
      <w:r w:rsidRPr="00120DEB">
        <w:rPr>
          <w:rFonts w:ascii="Times New Roman" w:hAnsi="Times New Roman" w:cs="Times New Roman"/>
        </w:rPr>
        <w:t>Grupa OPEC obecnie realizuje strategię biznesową na lata 2020-2025, w której znajdują miejsce inicjatywy związane m.in. z redukcją emisji gazów cieplarnianych. W IV kwartale 2024 roku zostanie ogłoszona nowa strategia biznesowa na lata 2025-2030, która będzie obejmowała swym zakresem kolejne inwestycje mające na celu ograniczenie emisji gazów cieplarnianych. Ponadto Grupa OPEC jest w trakcie opracowania strategii ESG na lata 2025-2030, której publikacja planowana jest na I kwartał 2025 roku.</w:t>
      </w:r>
    </w:p>
    <w:p w14:paraId="773A7021" w14:textId="77777777" w:rsidR="00120DEB" w:rsidRPr="00120DEB" w:rsidRDefault="00120DEB" w:rsidP="00120DEB">
      <w:pPr>
        <w:jc w:val="both"/>
        <w:rPr>
          <w:rFonts w:ascii="Times New Roman" w:hAnsi="Times New Roman" w:cs="Times New Roman"/>
        </w:rPr>
      </w:pPr>
    </w:p>
    <w:p w14:paraId="17EC87D2" w14:textId="77777777" w:rsidR="00120DEB" w:rsidRPr="00120DEB" w:rsidRDefault="00120DEB" w:rsidP="00120DEB">
      <w:pPr>
        <w:jc w:val="both"/>
        <w:rPr>
          <w:rFonts w:ascii="Times New Roman" w:hAnsi="Times New Roman" w:cs="Times New Roman"/>
        </w:rPr>
      </w:pPr>
      <w:r w:rsidRPr="00120DEB">
        <w:rPr>
          <w:rFonts w:ascii="Times New Roman" w:hAnsi="Times New Roman" w:cs="Times New Roman"/>
        </w:rPr>
        <w:t>Ślad węglowy:</w:t>
      </w:r>
    </w:p>
    <w:p w14:paraId="68233111" w14:textId="77777777" w:rsidR="00120DEB" w:rsidRPr="00120DEB" w:rsidRDefault="00120DEB" w:rsidP="00120DEB">
      <w:pPr>
        <w:jc w:val="both"/>
        <w:rPr>
          <w:rFonts w:ascii="Times New Roman" w:hAnsi="Times New Roman" w:cs="Times New Roman"/>
        </w:rPr>
      </w:pPr>
      <w:r w:rsidRPr="00120DEB">
        <w:rPr>
          <w:rFonts w:ascii="Times New Roman" w:hAnsi="Times New Roman" w:cs="Times New Roman"/>
        </w:rPr>
        <w:t>Grupa OPEC policzyła swój ślad węglowy w 3 zakresach za rok 2023, stanowiący rok bazowy. Audyt śladu węglowego przez jednostkę zewnętrzną odbędzie się w I kwartale 2025 roku. Po tym czasie Grupa OPEC przystąpi do liczenia śladu węglowego za 2024 rok.</w:t>
      </w:r>
    </w:p>
    <w:p w14:paraId="291E58B5" w14:textId="77777777" w:rsidR="00120DEB" w:rsidRPr="00120DEB" w:rsidRDefault="00120DEB" w:rsidP="00120DEB">
      <w:pPr>
        <w:jc w:val="both"/>
        <w:rPr>
          <w:rFonts w:ascii="Times New Roman" w:hAnsi="Times New Roman" w:cs="Times New Roman"/>
        </w:rPr>
      </w:pPr>
    </w:p>
    <w:p w14:paraId="0C3DD114" w14:textId="77777777" w:rsidR="00120DEB" w:rsidRPr="00120DEB" w:rsidRDefault="00120DEB" w:rsidP="00120DEB">
      <w:pPr>
        <w:jc w:val="both"/>
        <w:rPr>
          <w:rFonts w:ascii="Times New Roman" w:hAnsi="Times New Roman" w:cs="Times New Roman"/>
        </w:rPr>
      </w:pPr>
      <w:r w:rsidRPr="00120DEB">
        <w:rPr>
          <w:rFonts w:ascii="Times New Roman" w:hAnsi="Times New Roman" w:cs="Times New Roman"/>
        </w:rPr>
        <w:t>Ocena podwójnej istotności:</w:t>
      </w:r>
    </w:p>
    <w:p w14:paraId="3A8A9E05" w14:textId="77777777" w:rsidR="00120DEB" w:rsidRPr="00120DEB" w:rsidRDefault="00120DEB" w:rsidP="00120DEB">
      <w:pPr>
        <w:jc w:val="both"/>
        <w:rPr>
          <w:rFonts w:ascii="Times New Roman" w:hAnsi="Times New Roman" w:cs="Times New Roman"/>
        </w:rPr>
      </w:pPr>
      <w:r w:rsidRPr="00120DEB">
        <w:rPr>
          <w:rFonts w:ascii="Times New Roman" w:hAnsi="Times New Roman" w:cs="Times New Roman"/>
        </w:rPr>
        <w:t xml:space="preserve">Grupa OPEC rozpoczęła proces oceny podwójnej istotności kwestii związanych ze zrównoważonym rozwojem zgodnie z rozporządzeniem delegowanym ESRS w czerwcu 2024 roku. Ocena wymaga uzupełnienia o analizę zagadnień w łańcuchu wartości oraz wsparcie przy ocenie </w:t>
      </w:r>
      <w:proofErr w:type="spellStart"/>
      <w:r w:rsidRPr="00120DEB">
        <w:rPr>
          <w:rFonts w:ascii="Times New Roman" w:hAnsi="Times New Roman" w:cs="Times New Roman"/>
        </w:rPr>
        <w:t>ryzyk</w:t>
      </w:r>
      <w:proofErr w:type="spellEnd"/>
      <w:r w:rsidRPr="00120DEB">
        <w:rPr>
          <w:rFonts w:ascii="Times New Roman" w:hAnsi="Times New Roman" w:cs="Times New Roman"/>
        </w:rPr>
        <w:t xml:space="preserve"> i szans.</w:t>
      </w:r>
    </w:p>
    <w:p w14:paraId="72DCF0AB" w14:textId="77777777" w:rsidR="00120DEB" w:rsidRPr="00120DEB" w:rsidRDefault="00120DEB" w:rsidP="00120DEB">
      <w:pPr>
        <w:jc w:val="both"/>
        <w:rPr>
          <w:rFonts w:ascii="Times New Roman" w:hAnsi="Times New Roman" w:cs="Times New Roman"/>
        </w:rPr>
      </w:pPr>
    </w:p>
    <w:p w14:paraId="2109BB92" w14:textId="77777777" w:rsidR="00120DEB" w:rsidRPr="00120DEB" w:rsidRDefault="00120DEB" w:rsidP="00120DEB">
      <w:pPr>
        <w:jc w:val="both"/>
        <w:rPr>
          <w:rFonts w:ascii="Times New Roman" w:hAnsi="Times New Roman" w:cs="Times New Roman"/>
        </w:rPr>
      </w:pPr>
      <w:r w:rsidRPr="00120DEB">
        <w:rPr>
          <w:rFonts w:ascii="Times New Roman" w:hAnsi="Times New Roman" w:cs="Times New Roman"/>
        </w:rPr>
        <w:t>Interesariusze:</w:t>
      </w:r>
    </w:p>
    <w:p w14:paraId="0D6D95CD" w14:textId="77777777" w:rsidR="00120DEB" w:rsidRPr="00120DEB" w:rsidRDefault="00120DEB" w:rsidP="00120DEB">
      <w:pPr>
        <w:jc w:val="both"/>
        <w:rPr>
          <w:rFonts w:ascii="Times New Roman" w:hAnsi="Times New Roman" w:cs="Times New Roman"/>
        </w:rPr>
      </w:pPr>
      <w:r w:rsidRPr="00120DEB">
        <w:rPr>
          <w:rFonts w:ascii="Times New Roman" w:hAnsi="Times New Roman" w:cs="Times New Roman"/>
        </w:rPr>
        <w:t>Grupa OPEC przeprowadziła mapowanie wszystkich interesariuszy oraz dokonała ich oceny ze względu na wpływ na naszą działalność oraz zainteresowanie naszą działalnością. Z przeprowadzonej analizy została wyłoniona grupa kluczowych interesariuszy, z którymi obecnie prowadzone są sesje dialogowe zgodnie ze standardem AA1000SE. Celem sesji dialogowych jest identyfikacja kwestii istotnych z perspektywy interesariuszy oraz wpływu działalności Grupy OPEC na kwestie ESG. Z sesji dialogowych sporządzony zostanie raport, którego wyniki zostaną uwzględnione w opracowywanej strategii ESG oraz ocenie podwójnej istotności. Sesje dialogowe zakończą się w IV kwartale 2024 roku.</w:t>
      </w:r>
    </w:p>
    <w:p w14:paraId="40189112" w14:textId="77777777" w:rsidR="00120DEB" w:rsidRPr="00120DEB" w:rsidRDefault="00120DEB" w:rsidP="00120DEB">
      <w:pPr>
        <w:jc w:val="both"/>
        <w:rPr>
          <w:rFonts w:ascii="Times New Roman" w:hAnsi="Times New Roman" w:cs="Times New Roman"/>
        </w:rPr>
      </w:pPr>
    </w:p>
    <w:p w14:paraId="098230D7" w14:textId="77777777" w:rsidR="00120DEB" w:rsidRPr="00120DEB" w:rsidRDefault="00120DEB" w:rsidP="00120DEB">
      <w:pPr>
        <w:jc w:val="both"/>
        <w:rPr>
          <w:rFonts w:ascii="Times New Roman" w:hAnsi="Times New Roman" w:cs="Times New Roman"/>
        </w:rPr>
      </w:pPr>
      <w:r w:rsidRPr="00120DEB">
        <w:rPr>
          <w:rFonts w:ascii="Times New Roman" w:hAnsi="Times New Roman" w:cs="Times New Roman"/>
        </w:rPr>
        <w:t>Taksonomia UE:</w:t>
      </w:r>
    </w:p>
    <w:p w14:paraId="32134546" w14:textId="3FA0A0EE" w:rsidR="00120DEB" w:rsidRPr="00120DEB" w:rsidRDefault="00120DEB" w:rsidP="00120DEB">
      <w:pPr>
        <w:jc w:val="both"/>
        <w:rPr>
          <w:rFonts w:ascii="Times New Roman" w:hAnsi="Times New Roman" w:cs="Times New Roman"/>
        </w:rPr>
      </w:pPr>
      <w:r w:rsidRPr="00120DEB">
        <w:rPr>
          <w:rFonts w:ascii="Times New Roman" w:hAnsi="Times New Roman" w:cs="Times New Roman"/>
        </w:rPr>
        <w:t>Grupa OPEC przygotowuje się do wdrożenia wymagań przepisów Taksonomii UE poprzez szkolenie warsztatowe dla pracowników obszarów finansowo-księgowych, informatycznych i inżynierii. Do</w:t>
      </w:r>
      <w:r w:rsidRPr="00120DEB">
        <w:rPr>
          <w:rFonts w:ascii="Times New Roman" w:hAnsi="Times New Roman" w:cs="Times New Roman"/>
        </w:rPr>
        <w:t xml:space="preserve"> </w:t>
      </w:r>
      <w:r w:rsidRPr="00120DEB">
        <w:rPr>
          <w:rFonts w:ascii="Times New Roman" w:hAnsi="Times New Roman" w:cs="Times New Roman"/>
        </w:rPr>
        <w:t>końca IV kwartału 2024 roku dostosowany zostanie obowiązujący w Grupie system księgowo-finansowy w celu oznaczania danych niezbędnym pod kątem wymogów Taksonomii.</w:t>
      </w:r>
    </w:p>
    <w:sectPr w:rsidR="00120DEB" w:rsidRPr="0012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53"/>
    <w:rsid w:val="00120DEB"/>
    <w:rsid w:val="00332F53"/>
    <w:rsid w:val="00575DB1"/>
    <w:rsid w:val="0098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534"/>
  <w15:chartTrackingRefBased/>
  <w15:docId w15:val="{5477573A-6A64-4C47-8AAA-7BED5F67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DEB"/>
    <w:pPr>
      <w:spacing w:after="0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2F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2F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F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2F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2F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2F5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2F5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2F5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2F5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2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2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2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2F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2F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2F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2F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2F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2F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2F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32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2F5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32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2F5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32F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2F5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32F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2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2F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2F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Jagodzinski</dc:creator>
  <cp:keywords/>
  <dc:description/>
  <cp:lastModifiedBy>Piotr Jagodzinski</cp:lastModifiedBy>
  <cp:revision>2</cp:revision>
  <dcterms:created xsi:type="dcterms:W3CDTF">2024-12-04T15:04:00Z</dcterms:created>
  <dcterms:modified xsi:type="dcterms:W3CDTF">2024-12-04T15:08:00Z</dcterms:modified>
</cp:coreProperties>
</file>