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C4BCF" w14:textId="12C29F92" w:rsidR="00BC288D" w:rsidRDefault="00EB63F0">
      <w:r>
        <w:t>2 opakowania</w:t>
      </w:r>
      <w:r w:rsidRPr="00EB63F0">
        <w:drawing>
          <wp:inline distT="0" distB="0" distL="0" distR="0" wp14:anchorId="1D3A16E8" wp14:editId="2BB49612">
            <wp:extent cx="5941695" cy="2559540"/>
            <wp:effectExtent l="0" t="0" r="1905" b="0"/>
            <wp:docPr id="540683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83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172" cy="256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30"/>
    <w:rsid w:val="00545D30"/>
    <w:rsid w:val="00BC288D"/>
    <w:rsid w:val="00CB6F62"/>
    <w:rsid w:val="00E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57F1"/>
  <w15:chartTrackingRefBased/>
  <w15:docId w15:val="{A0ADF401-6047-4B7F-B983-4DDA890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Adiutantura KWPSP</dc:creator>
  <cp:keywords/>
  <dc:description/>
  <cp:lastModifiedBy>Adiutantura KWPSP</cp:lastModifiedBy>
  <cp:revision>3</cp:revision>
  <dcterms:created xsi:type="dcterms:W3CDTF">2024-05-15T10:46:00Z</dcterms:created>
  <dcterms:modified xsi:type="dcterms:W3CDTF">2024-05-15T10:47:00Z</dcterms:modified>
</cp:coreProperties>
</file>