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CC73A41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4D28CA" w:rsidRPr="004A4D1B">
        <w:rPr>
          <w:b/>
          <w:bCs/>
        </w:rPr>
        <w:t>Przygotowanie i przeprowadzenie kampanii informacyjno-promocyjnej w związku z ustanowieniem przez Sejmik Województwa Kujawsko-Pomorskiego roku 2023 rokiem Mikołaja Kopernika oraz przeprowadzenie kampanii promującej region i wybitne postaci z nim związane</w:t>
      </w:r>
      <w:r w:rsidR="0058288C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F16E8C">
        <w:rPr>
          <w:rFonts w:ascii="Arial" w:hAnsi="Arial" w:cs="Arial"/>
          <w:i/>
          <w:iCs/>
          <w:sz w:val="21"/>
          <w:szCs w:val="21"/>
        </w:rPr>
        <w:t>1</w:t>
      </w:r>
      <w:r w:rsidR="004D28CA">
        <w:rPr>
          <w:rFonts w:ascii="Arial" w:hAnsi="Arial" w:cs="Arial"/>
          <w:i/>
          <w:iCs/>
          <w:sz w:val="21"/>
          <w:szCs w:val="21"/>
        </w:rPr>
        <w:t>9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16E8C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4</cp:revision>
  <cp:lastPrinted>2016-07-26T10:32:00Z</cp:lastPrinted>
  <dcterms:created xsi:type="dcterms:W3CDTF">2022-11-23T10:44:00Z</dcterms:created>
  <dcterms:modified xsi:type="dcterms:W3CDTF">2023-04-07T06:31:00Z</dcterms:modified>
</cp:coreProperties>
</file>