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DA1" w:rsidRPr="00F27DA1" w:rsidRDefault="002E0F0D" w:rsidP="00F27DA1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GK.ZP.271.21</w:t>
      </w:r>
      <w:r w:rsidR="00896311">
        <w:rPr>
          <w:rFonts w:ascii="Calibri" w:hAnsi="Calibri" w:cs="Calibri"/>
          <w:color w:val="000000" w:themeColor="text1"/>
        </w:rPr>
        <w:t xml:space="preserve">.2024 </w:t>
      </w:r>
      <w:r w:rsidR="00896311">
        <w:rPr>
          <w:rFonts w:ascii="Calibri" w:hAnsi="Calibri" w:cs="Calibri"/>
          <w:color w:val="000000" w:themeColor="text1"/>
        </w:rPr>
        <w:tab/>
      </w:r>
      <w:r w:rsidR="00896311">
        <w:rPr>
          <w:rFonts w:ascii="Calibri" w:hAnsi="Calibri" w:cs="Calibri"/>
          <w:color w:val="000000" w:themeColor="text1"/>
        </w:rPr>
        <w:tab/>
      </w:r>
      <w:r w:rsidR="00896311">
        <w:rPr>
          <w:rFonts w:ascii="Calibri" w:hAnsi="Calibri" w:cs="Calibri"/>
          <w:color w:val="000000" w:themeColor="text1"/>
        </w:rPr>
        <w:tab/>
      </w:r>
      <w:r w:rsidR="00896311">
        <w:rPr>
          <w:rFonts w:ascii="Calibri" w:hAnsi="Calibri" w:cs="Calibri"/>
          <w:color w:val="000000" w:themeColor="text1"/>
        </w:rPr>
        <w:tab/>
      </w:r>
      <w:r w:rsidR="00896311">
        <w:rPr>
          <w:rFonts w:ascii="Calibri" w:hAnsi="Calibri" w:cs="Calibri"/>
          <w:color w:val="000000" w:themeColor="text1"/>
        </w:rPr>
        <w:tab/>
      </w:r>
      <w:r w:rsidR="00896311">
        <w:rPr>
          <w:rFonts w:ascii="Calibri" w:hAnsi="Calibri" w:cs="Calibri"/>
          <w:color w:val="000000" w:themeColor="text1"/>
        </w:rPr>
        <w:tab/>
      </w:r>
      <w:r w:rsidR="00896311">
        <w:rPr>
          <w:rFonts w:ascii="Calibri" w:hAnsi="Calibri" w:cs="Calibri"/>
          <w:color w:val="000000" w:themeColor="text1"/>
        </w:rPr>
        <w:tab/>
      </w:r>
      <w:r w:rsidR="00896311">
        <w:rPr>
          <w:rFonts w:ascii="Calibri" w:hAnsi="Calibri" w:cs="Calibri"/>
          <w:color w:val="000000" w:themeColor="text1"/>
        </w:rPr>
        <w:tab/>
        <w:t>Załącznik nr 1</w:t>
      </w:r>
      <w:r w:rsidR="00F27DA1" w:rsidRPr="00F27DA1">
        <w:rPr>
          <w:rFonts w:ascii="Calibri" w:hAnsi="Calibri" w:cs="Calibri"/>
          <w:color w:val="000000" w:themeColor="text1"/>
        </w:rPr>
        <w:t xml:space="preserve"> do SWZ</w:t>
      </w:r>
    </w:p>
    <w:p w:rsidR="00F27DA1" w:rsidRPr="00F27DA1" w:rsidRDefault="00F27DA1" w:rsidP="00F27DA1">
      <w:pPr>
        <w:jc w:val="center"/>
        <w:rPr>
          <w:rFonts w:ascii="Calibri" w:hAnsi="Calibri" w:cs="Calibri"/>
          <w:b/>
          <w:color w:val="000000" w:themeColor="text1"/>
        </w:rPr>
      </w:pPr>
      <w:r w:rsidRPr="00F27DA1">
        <w:rPr>
          <w:rFonts w:ascii="Calibri" w:hAnsi="Calibri" w:cs="Calibri"/>
          <w:b/>
          <w:color w:val="000000" w:themeColor="text1"/>
        </w:rPr>
        <w:t>OPIS PRZEDMIOTU ZAMÓWIENIA</w:t>
      </w:r>
      <w:bookmarkStart w:id="0" w:name="_GoBack"/>
      <w:bookmarkEnd w:id="0"/>
    </w:p>
    <w:p w:rsidR="00F27DA1" w:rsidRPr="008660B9" w:rsidRDefault="00F27DA1" w:rsidP="008660B9">
      <w:pPr>
        <w:jc w:val="center"/>
        <w:rPr>
          <w:rFonts w:ascii="Calibri" w:hAnsi="Calibri" w:cs="Calibri"/>
          <w:b/>
          <w:color w:val="000000" w:themeColor="text1"/>
        </w:rPr>
      </w:pPr>
      <w:r w:rsidRPr="008660B9">
        <w:rPr>
          <w:rFonts w:ascii="Calibri" w:hAnsi="Calibri" w:cs="Calibri"/>
          <w:b/>
          <w:color w:val="000000" w:themeColor="text1"/>
        </w:rPr>
        <w:t xml:space="preserve">Część 6 – </w:t>
      </w:r>
      <w:r w:rsidR="00B001A5">
        <w:rPr>
          <w:rFonts w:ascii="Calibri" w:hAnsi="Calibri" w:cs="Calibri"/>
          <w:b/>
          <w:color w:val="000000" w:themeColor="text1"/>
        </w:rPr>
        <w:t>oprogramowanie</w:t>
      </w:r>
      <w:r w:rsidR="008660B9" w:rsidRPr="008660B9">
        <w:rPr>
          <w:rFonts w:ascii="Calibri" w:hAnsi="Calibri" w:cs="Calibri"/>
          <w:b/>
          <w:color w:val="000000" w:themeColor="text1"/>
        </w:rPr>
        <w:t xml:space="preserve"> „A” do tworzenia kopii</w:t>
      </w:r>
    </w:p>
    <w:p w:rsidR="00F27DA1" w:rsidRPr="008660B9" w:rsidRDefault="00F27DA1" w:rsidP="008660B9">
      <w:pPr>
        <w:jc w:val="center"/>
        <w:rPr>
          <w:rFonts w:ascii="Calibri" w:hAnsi="Calibri" w:cs="Calibri"/>
          <w:b/>
          <w:color w:val="000000" w:themeColor="text1"/>
        </w:rPr>
      </w:pPr>
      <w:r w:rsidRPr="008660B9">
        <w:rPr>
          <w:rFonts w:ascii="Calibri" w:hAnsi="Calibri" w:cs="Calibri"/>
          <w:b/>
          <w:color w:val="000000" w:themeColor="text1"/>
        </w:rPr>
        <w:t>OPIS I MINIALNE PARAMETRY</w:t>
      </w:r>
    </w:p>
    <w:p w:rsidR="00F27DA1" w:rsidRPr="008660B9" w:rsidRDefault="00F27DA1" w:rsidP="008660B9">
      <w:pPr>
        <w:jc w:val="center"/>
        <w:rPr>
          <w:rFonts w:ascii="Calibri" w:hAnsi="Calibri" w:cs="Calibri"/>
          <w:b/>
          <w:color w:val="000000" w:themeColor="text1"/>
        </w:rPr>
      </w:pPr>
      <w:r w:rsidRPr="008660B9">
        <w:rPr>
          <w:rFonts w:ascii="Calibri" w:hAnsi="Calibri" w:cs="Calibri"/>
          <w:b/>
          <w:color w:val="000000" w:themeColor="text1"/>
        </w:rPr>
        <w:t>Zamawiający dopuszcza sprzęt o równoważnych, nie gorszych parametrach niż te przedstawione poniżej.</w:t>
      </w:r>
    </w:p>
    <w:p w:rsidR="004A7B17" w:rsidRPr="00B001A5" w:rsidRDefault="009672C5" w:rsidP="008660B9">
      <w:pPr>
        <w:jc w:val="center"/>
        <w:rPr>
          <w:rFonts w:ascii="Calibri" w:hAnsi="Calibri" w:cs="Calibri"/>
        </w:rPr>
      </w:pPr>
      <w:r w:rsidRPr="00B001A5">
        <w:rPr>
          <w:rStyle w:val="czeinternetowe"/>
          <w:rFonts w:ascii="Calibri" w:hAnsi="Calibri" w:cs="Calibri"/>
          <w:b/>
          <w:color w:val="auto"/>
          <w:u w:val="none"/>
        </w:rPr>
        <w:t>Zakup oprogramowania</w:t>
      </w:r>
      <w:r w:rsidR="006B7535" w:rsidRPr="00B001A5">
        <w:rPr>
          <w:rStyle w:val="czeinternetowe"/>
          <w:rFonts w:ascii="Calibri" w:hAnsi="Calibri" w:cs="Calibri"/>
          <w:b/>
          <w:color w:val="auto"/>
          <w:u w:val="none"/>
        </w:rPr>
        <w:t xml:space="preserve"> „A”</w:t>
      </w:r>
      <w:r w:rsidRPr="00B001A5">
        <w:rPr>
          <w:rStyle w:val="czeinternetowe"/>
          <w:rFonts w:ascii="Calibri" w:hAnsi="Calibri" w:cs="Calibri"/>
          <w:b/>
          <w:color w:val="auto"/>
          <w:u w:val="none"/>
        </w:rPr>
        <w:t xml:space="preserve"> do tworzenia kopii bezpieczeństwa serwerów </w:t>
      </w:r>
      <w:r w:rsidR="004A7B17" w:rsidRPr="00B001A5">
        <w:rPr>
          <w:rStyle w:val="czeinternetowe"/>
          <w:rFonts w:ascii="Calibri" w:hAnsi="Calibri" w:cs="Calibri"/>
          <w:b/>
          <w:color w:val="auto"/>
          <w:u w:val="none"/>
        </w:rPr>
        <w:t xml:space="preserve">– </w:t>
      </w:r>
      <w:r w:rsidRPr="00B001A5">
        <w:rPr>
          <w:rStyle w:val="czeinternetowe"/>
          <w:rFonts w:ascii="Calibri" w:hAnsi="Calibri" w:cs="Calibri"/>
          <w:b/>
          <w:color w:val="auto"/>
          <w:u w:val="none"/>
        </w:rPr>
        <w:t>5 licencji</w:t>
      </w:r>
      <w:r w:rsidR="004A7B17" w:rsidRPr="00B001A5">
        <w:rPr>
          <w:rStyle w:val="czeinternetowe"/>
          <w:rFonts w:ascii="Calibri" w:hAnsi="Calibri" w:cs="Calibri"/>
          <w:b/>
          <w:color w:val="auto"/>
          <w:u w:val="none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4A7B17" w:rsidRPr="00623F5D" w:rsidTr="004A7B17">
        <w:trPr>
          <w:trHeight w:val="3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Wymagania ogólne</w:t>
            </w:r>
          </w:p>
        </w:tc>
      </w:tr>
      <w:tr w:rsidR="004A7B17" w:rsidRPr="00623F5D" w:rsidTr="004A7B17">
        <w:trPr>
          <w:trHeight w:val="128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być produktem przeznaczonym do obsługi środowisk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DataCenter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Oferowany produkt musi znajdować się w kwadracie liderów Gartner Magic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Quadrant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for Data Center Backup and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Recovery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Solutions oraz na ogólnie dostępnej liście referencyjnej Gartner: </w:t>
            </w:r>
            <w:r w:rsidRPr="0097406E">
              <w:rPr>
                <w:rFonts w:ascii="Calibri" w:eastAsia="Times New Roman" w:hAnsi="Calibri" w:cs="Calibri"/>
                <w:color w:val="000000"/>
                <w:u w:val="single"/>
                <w:lang w:eastAsia="pl-PL"/>
              </w:rPr>
              <w:t>https://www.gartner.com/reviews/market/data-center-backup-and-recovery-solutions</w:t>
            </w: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spełniać minimalne wymaganie : - minimalna liczba referencji 150, - minimalna ocena z referencji 4,5,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współpracować z infrastrukturą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VMware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wersji 6.x, 7.x i 8.0 oraz Microsoft Hyper-V 2012, 2012R2, 2016, 2019 i 2022. Wszystkie funkcjonalności w specyfikacji muszą być dostępne na wszystkich wspieranych platformach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wirtualizacyjnych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, chyba, że wyszczególniono inaczej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zapewniać tworzenie kopii zapasowych z sieciowych urządzeń plikowych NAS opartych o SMB, CIFS i/lub NFS oraz bezpośrednio z serwerów plikowych opartych o Windows i Linux.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Całkowite koszty posiadania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być niezależne sprzętowo i umożliwiać wykorzystanie dowolnej platformy serwerowej i dyskowej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tworzyć “samowystarczalne” archiwa do odzyskania których nie wymagana jest osobna baza danych z metadanymi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deduplikowanych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bloków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mieć mechanizmy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deduplikacji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kompresji w celu zmniejszenia wielkości archiwów. Włączenie tych mechanizmów nie może skutkować utratą jakichkolwiek funkcjonalności wymienionych w tej specyfikacji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nie może przechowywać danych o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deduplikacji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centralnej bazie. Utrata bazy danych używanej przez oprogramowanie nie może prowadzić do utraty możliwości odtworzenia backupu. Metadane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deduplikacji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muszą być przechowywane w plikach backupu.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zapewniać warstwę abstrakcji nad poszczególnymi urządzeniami pamięci masowej, pozwalając utworzyć jedną wirtualną pulę pamięci na kopie zapasowe. Wymagane jest wsparcie dla nieograniczonej liczby pamięci masowych to takiej puli.</w:t>
            </w:r>
          </w:p>
        </w:tc>
      </w:tr>
      <w:tr w:rsidR="004A7B17" w:rsidRPr="00623F5D" w:rsidTr="004A7B17">
        <w:trPr>
          <w:trHeight w:val="96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bookmarkStart w:id="1" w:name="m_8996672893111157826_RANGE!B12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pozwalać na tworzenie repozytorium kopii zapasowych bezpośrednio na zasobach Microsoft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Azure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Blob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Google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Cloud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Storage, Amazon S3, Wasabi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Cloud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Storage oraz na innych kompatybilnych z S3 przestrzeniach obiektowych. Dodatkowo, oprogramowanie musi wspierać archiwizowanie tych danych do Microsoft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Azure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Archive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Blob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Storage oraz Amazon S3 Glacier.</w:t>
            </w:r>
            <w:bookmarkEnd w:id="1"/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wspierać niezmienność kopii zapasowych na potrzeby ochrony przed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ransomware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poprzez niedopuszczenie do usunięcia lub modyfikacji kopii zapasowej w zadanym okresie czasu. 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nie może instalować żadnych stałych agentów wymagających wdrożenia czy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upgradowania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wewnątrz maszyny wirtualnej dla jakichkolwiek funkcjonalności backupu lub odtwarzania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 xml:space="preserve">Oprogramowanie musi oferować portal samoobsługowy, umożliwiający odtwarzanie użytkownikom wirtualnych maszyn, obiektów MS Exchange i baz danych MS SQL, Oracle oraz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PostgreSQL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(w tym odtwarzanie point-in-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time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zapewniać możliwość delegacji uprawnień do odtwarzania na portalu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mieć możliwość integracji z innymi systemami poprzez wbudowane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RESTful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API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mieć wbudowane mechanizmy backupu konfiguracji w celu prostego odtworzenia systemu po całkowitej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reinstalacji</w:t>
            </w:r>
            <w:proofErr w:type="spellEnd"/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mieć wbudowane mechanizmy szyfrowania zarówno plików z backupami jak i transmisji sieciowej. Włączenie szyfrowania nie może skutkować utratą jakiejkolwiek funkcjonalności wymienionej w tej specyfikacji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posiadać mechanizmy chroniące przed utratą hasła szyfrowania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posiadać architekturę klient/serwer z możliwością instalacji wielu instancji konsoli administracyjnych.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posiadać natywne mechanizmy uwierzytelniania wieloskładnikowego (MFA) w celu dostępu do konsoli administracyjnej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Wymagania RPO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wykorzystywać mechanizmy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Change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Block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Tracking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na wszystkich wspieranych platformach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wirtualizacyjnych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Mechanizmy muszą być certyfikowane przez dostawcę platformy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wirtualizacyjnej</w:t>
            </w:r>
            <w:proofErr w:type="spellEnd"/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wykorzystywać mechanizmy śledzenia zmienionych plików przy zabezpieczaniu udziałów plikowych.</w:t>
            </w:r>
          </w:p>
        </w:tc>
      </w:tr>
      <w:tr w:rsidR="004A7B17" w:rsidRPr="00623F5D" w:rsidTr="004A7B17">
        <w:trPr>
          <w:trHeight w:val="96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oferować możliwość sterowania obciążeniem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storage'u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produkcyjnego tak aby nie przekraczane były skonfigurowane przez administratora backupu poziomy latencji. Funkcjonalność ta musi być dostępna na wszystkich wspieranych platformach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wirtualizacyjnych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 dokładnością do pojedynczego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datastoru</w:t>
            </w:r>
            <w:proofErr w:type="spellEnd"/>
          </w:p>
        </w:tc>
      </w:tr>
      <w:tr w:rsidR="004A7B17" w:rsidRPr="00623F5D" w:rsidTr="004A7B17">
        <w:trPr>
          <w:trHeight w:val="96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zapewniać tworzenie kopii zapasowych z bezpośrednim wykorzystaniem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snapshotów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macierzowych. Musi też zapewniać odtwarzanie maszyn wirtualnych z takich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snapshotów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Proces wykonania kopii zapasowej nie może wymagać użycia jakichkolwiek hostów tymczasowych. Opisana funkcjonalność powinna działać w środowisku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VMware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posiadać wsparcie dla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VMware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vSAN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potwierdzone odpowiednią certyfikacją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VMware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wspierać kopiowanie backupów oraz zasobów plikowych na taśmy.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mieć możliwość tworzenia retencji GFS (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Grandfather-Father-Son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wspierać bezpośrednią integrację z urządzeniami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deduplikacyjnymi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Minimalnie wsparcie wymagane dla Dell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DataDomain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HPE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StoreOnce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ExaGrid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Fujitsu CS800, Quantum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DXi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oraz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Infinidat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InfiniGuard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. 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wspierać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BlockClone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API w przypadku użycia Windows Server 2016, 2019 lub 2022 z systemem pliku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ReFS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jako repozytorium backupu. Podobna funkcjonalność musi być zapewniona dla repozytoriów opartych o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linuxowy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system plików XFS.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mieć możliwość kopiowania backupów oraz replikacji wirtualnych maszyn z wykorzystaniem wbudowanej akceleracji WAN.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mieć możliwość replikacji asynchronicznej włączonych wirtualnych maszyn bezpośrednio z infrastruktury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VMware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vSphere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pomiędzy hostami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ESXi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oraz pomiędzy hostami Hyper-V. Dodatkowo oprogramowanie musi mieć możliwość użycia plików kopii zapasowych jako źródła replikacji.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mieć możliwość replikacji ciągłej, opartej o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VMware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VAIO, włączonych wirtualnych maszyn bezpośrednio z infrastruktury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VMware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vSphere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Dla replikacji ciągłej musi być </w:t>
            </w: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możliwość zdefiniowania dziennika pozwalającego na odzyskanie danych z dowolnego punku w ramach ustalonego parametru RPO.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Oprogramowanie musi umożliwiać przechowywanie punktów przywracania dla replik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umożliwiać wykorzystanie istniejących w infrastrukturze wirtualnych maszyn jako źródła do dalszej replikacji (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replica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seeding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wykorzystywać wszystkie oferowane przez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hypervisor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tryby transportu (sieć, hot-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add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LAN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Free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-SAN)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Wymagania RTO</w:t>
            </w:r>
          </w:p>
        </w:tc>
      </w:tr>
      <w:tr w:rsidR="004A7B17" w:rsidRPr="00623F5D" w:rsidTr="004A7B17">
        <w:trPr>
          <w:trHeight w:val="96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umożliwiać jednoczesne uruchomienie wielu maszyn wirtualnych bezpośrednio ze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zdeduplikowanego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skompresowanego pliku backupu, z dowolnego punktu przywracania, bez potrzeby kopiowania jej na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storage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produkcyjny. Funkcjonalność musi być oferowana dla środowisk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VMware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Hyper-V oraz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Nutanix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AHV niezależnie od rodzaju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storage’u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użytego do przechowywania kopii zapasowych.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Dodatkowo dla środowiska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vSphere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Hyper-V i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Nutanix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AHV powyższa funkcjonalność powinna umożliwiać uruchomianie backupu z innych platform (inne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wirtualizatory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, maszyny fizyczne oraz chmura publiczna)</w:t>
            </w:r>
          </w:p>
        </w:tc>
      </w:tr>
      <w:tr w:rsidR="004A7B17" w:rsidRPr="00623F5D" w:rsidTr="004A7B17">
        <w:trPr>
          <w:trHeight w:val="96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pozwalać na migrację on-line tak uruchomionych maszyn na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storage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produkcyjny. Migracja powinna odbywać się mechanizmami wbudowanymi w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hypervisor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Jeżeli licencja na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hypervisor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nie posiada takich funkcjonalności - oprogramowanie musi realizować taką migrację swoimi mechanizmami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pozwalać na zaprezentowanie pojedynczego dysku bezpośrednio z kopii zapasowej do wybranej działającej maszyny wirtualnej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vSpehre</w:t>
            </w:r>
            <w:proofErr w:type="spellEnd"/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pozwalać na uruchomienie zasobów plikowych SMB oraz baz danych MS SQL i Oracle bezpośrednio ze skompresowanego i skompresowanego pliku backupu. Dodatkowo wspierana musi być migracja on-line tak uruchomionych zasobów na środowisko produkcyjne.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umożliwiać pełne odtworzenie wirtualnej maszyny, plików konfiguracji i dysków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umożliwiać pełne odtworzenie wirtualnej maszyny bezpośrednio do Microsoft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Azure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Microsoft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Azure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Stack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Amazon EC2 oraz Google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Cloud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Platform.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umożliwić odtworzenie plików/folderów lub ich uprawnień na maszynę operatora, lub na serwer produkcyjny bez potrzeby użycia agenta instalowanego wewnątrz wirtualnej maszyny. Funkcjonalność ta nie powinna być ograniczona wielkością i liczbą przywracanych plików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mieć możliwość odtworzenia plików bezpośrednio do maszyny wirtualnej poprzez sieć, przy pomocy natywnego API dla platformy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VMware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PowerShell Direct dla platformy Hyper-V.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wspierać odtwarzanie pojedynczych plików z systemów Windows, Linux, BSD, Solaris, Mac, Novell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wspierać przywracanie plików z partycji Linux LVM oraz Windows Storage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Spaces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umożliwiać szybkie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granularne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odtwarzanie obiektów aplikacji bez użycia jakiegokolwiek agenta zainstalowanego wewnątrz maszyny wirtualnej.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wspierać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granularne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odtwarzanie obiektów Active Directory takich jak konta komputerów, konta użytkowników, dowolnych atrybutów, rekordów DNS zintegrowanych z AD, Microsoft System Objects, certyfikatów CA, elementów AD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Sites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oraz pozwalać na odtworzenie haseł. 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 xml:space="preserve">Oprogramowanie musi wspierać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granularne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odtwarzanie Microsoft Exchange 2013SP1 i nowszych (dowolny obiekt w tym obiekty w folderze "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Permanently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Deleted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Objects"). Odtwarzanie musi być możliwe bezpośrednio do środowiska produkcyjnego.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wspierać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granularne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odtwarzanie Microsoft SQL 2008 i nowszych. Odtwarzanie musi być możliwe bezpośrednio do środowiska produkcyjnego dla odzysku point-in-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time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, całych baz lub pojedynczych tabeli, widoków oraz procedur.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wspierać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granularne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odtwarzanie Microsoft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Sharepoint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2013 i nowszych. Odtwarzanie musi być możliwe bezpośrednio do środowiska produkcyjnego dla odzysku całych witryn, bibliotek oraz pojedynczych dokumentów wraz z historią ich wersji.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wspierać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granularne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odtwarzanie baz danych Oracle z opcją odtwarzanie point-in-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time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wraz z włączonym Oracle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DataGuard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. Funkcjonalność ta musi być dostępna dla baz uruchomionych w środowiskach Windows oraz Linux.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wspierać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granularne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odtwarzanie baz danych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PostgreSQL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 opcją odtwarzanie point-in-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time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. Funkcjonalność ta musi być dostępna dla baz uruchomionych w środowiskach Linux.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posiadać natywną integrację dla backupów wykonywanych poprzez Oracle RMAN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posiadać natywną integrację dla backupów wykonywanych poprzez SAP HANA, SAP Oracle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posiadać natywną integrację dla backupów wykonywanych poprzez MS SQL VDI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wspierać także specyficzne metody odtwarzania w tym "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reverse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CBT" oraz odtwarzanie z wykorzystaniem sieci SAN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Ograniczenie ryzyka</w:t>
            </w:r>
          </w:p>
        </w:tc>
      </w:tr>
      <w:tr w:rsidR="004A7B17" w:rsidRPr="00623F5D" w:rsidTr="004A7B17">
        <w:trPr>
          <w:trHeight w:val="96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dawać możliwość stworzenia laboratorium (izolowane środowisko) dla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vSphere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Hyper-V używając wirtualnych maszyn uruchamianych bezpośrednio z plików backupu. Powyższa funkcjonalność powinna umożliwiać uruchomianie backupu z innych platform (inne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wirtualizatory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, maszyny fizyczne oraz chmura publiczna)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Dla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VMware’a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oprogramowanie musi pozwalać na uruchomienie takiego środowiska dla replik maszyn wirtualnych oraz bezpośrednio ze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snapshotów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macierzowych stworzonych na wspieranych urządzeniach.</w:t>
            </w:r>
          </w:p>
        </w:tc>
      </w:tr>
      <w:tr w:rsidR="004A7B17" w:rsidRPr="00623F5D" w:rsidTr="004A7B17">
        <w:trPr>
          <w:trHeight w:val="96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umożliwiać weryfikację odtwarzalności wielu wirtualnych maszyn jednocześnie z dowolnego backupu według własnego harmonogramu w izolowanym środowisku. Testy powinny uwzględniać możliwość uruchomienia dowolnego skryptu testującego również aplikację uruchomioną na wirtualnej maszynie. Testy muszą być przeprowadzone bez interakcji z administratorem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umożliwiać integrację z oprogramowaniem antywirusowym w celu wykonania skanu zawartości pliku backupowego przed odtworzeniem jakichkolwiek danych. Integracja musi być zapewniona minimalnie dla Windows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Defender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Symantec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Protection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Engine oraz ESET NOD32.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Oprogramowanie musi umożliwiać dwuetapowe, automatyczne, odtwarzanie maszyn wirtualnych z możliwością wstrzyknięcia dowolnego skryptu przed odtworzeniem danych do środowiska produkcyjnego.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Środowiska fizyczne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Rozwiązanie musi wykonywać kopię zapasową systemu Windows oraz Linux wykorzystując agenta znajdującego się wewnątrz systemu operacyjnego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Rozwiązanie musi wspierać systemy operacyjne Windows w wersjach klienckich oraz serwerowych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Rozwiązanie musi wspierać co najmniej następujące dystrybucje systemów Linux: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Debian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Ubuntu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RHEL,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CentOS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Oracle Linux, SLES, Fedora,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openSUSE</w:t>
            </w:r>
            <w:proofErr w:type="spellEnd"/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 xml:space="preserve">Rozwiązanie musi wspierać system operacyjny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macOS</w:t>
            </w:r>
            <w:proofErr w:type="spellEnd"/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musi wspierać odtwarzanie pojedynczych plików z systemów Windows, Linux,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MacOS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, Unix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Rozwiązanie musi mieć możliwość instalacji oraz zarządzania wykorzystując tryb niezależny (per agent) jak również zcentralizowany (poprzez centralną konsolę zarządzającą)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Rozwiązanie musi wspierać systemy oparte o Microsoft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Failover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Cluster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Rozwiązanie musi wspierać zabezpieczanie do oraz odzyskiwanie z urządzeń blokowych pozwalając na odzysk całej maszyny (tzw.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bare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metal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recovery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) wybranych wolumenów, oraz wybranych plików i folderów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Rozwiązanie musi wspierać backup podłączonych dysków USB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Kopia zapasowa całej maszyny oraz pojedynczych wolumenów musi być wykonywana na poziomie blokowym</w:t>
            </w:r>
          </w:p>
        </w:tc>
      </w:tr>
      <w:tr w:rsidR="004A7B17" w:rsidRPr="00623F5D" w:rsidTr="004A7B17">
        <w:trPr>
          <w:trHeight w:val="96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Rozwiązanie musi pozwalać na przechowywanie kopii zapasowych na zasobach lokalnych (wewnętrznych) dyskach zabezpieczanej maszyny, Direct Attached Storage (DAS), takich jak zewnętrzne dyski USB,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eSATA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Firewire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, Network Attached Storage (NAS) pozwalającym na wystawienie swoich zasobów poprzez SMB (CIFS) lub NFS, bezpośrednio na zasobach obiektowych (w tym chmury)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Rozwiązanie musi wspierać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deduplikacje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oraz kompresję na źródle. Dane wysyłane na repozytorium muszą być już odpowiednio przetworzone 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Rozwiązanie musi wspierać kontrolę pasma sieciowego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Rozwiązanie musi wspierać ograniczenie wykonywania backupów dla konkretnych sieci bezprzewodowych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Rozwiązanie musi wspierać ograniczenia wykonywania backupów dla połączeń VPN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Rozwiązanie musi wspierać śledzenie zmienionych bloków podczas wykonywania kopii zapasowych. Dla systemów Windows technologia śledzenia bloków dla systemów serwerowych musi być certyfikowana przez Microsoft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Rozwiązanie musi wspierać technologię BitLocker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Rozwiązanie musi wspierać uruchamianie z nośnika odtwarzania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Rozwiązanie musi wspierać odzysk pojedynczych elementów aplikacji z jednoprzebiegowej kopii zapasowej dla Microsoft Exchange 2013SP1 i nowszych, Microsoft Active Directory 2008 i nowszych, Microsoft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Sharepoint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2013 i nowszych, Microsoft SQL 2008 i nowszych, Oracle 11g i nowszych oraz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PostgreSQL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12 i nowszych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Rozwiązanie musi wspierać odzysk do konkretnego punktu w czasie (point-in-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time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) dla wspieranych systemów bazodanowych 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Rozwiązanie musi umożliwiać natychmiastowe publikowanie baz MS SQL i Oracle poprzez bezpośrednie uruchomienie ich z pliku backupu. 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Rozwiązanie musi wspierać odzysk obrazów kopii zapasowych bezpośrednio do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vSphere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Hyper-V,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Nutanix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AHV, Microsoft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Azure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Microsoft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Azure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Stack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Amazon EC2 oraz Google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Cloud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Platform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Rozwiązanie musi wspierać szyfrowanie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Rozwiązanie musi wspierać możliwość wykonywania kopii zapasowych stacji klienckich, lokalnie do repozytorium tymczasowego (cache) gdy połączenie sieciowe do głównego repozytorium kopii zapasowych jest niedostępne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Rozwiązanie musi posiadać funkcjonalność automatycznego zmniejszenia szybkości przetwarzania danych, aby nie dopuścić do obniżenia wydajności systemu zabezpieczanego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Rozwiązanie musi posiadać ochronę przed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ransomware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poprzez automatyczne odmontowanie nośnika po wykonanym backupie stacji klienckiej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Rozwiązanie musi wspierać tworzenie wielu zadań backupowych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lastRenderedPageBreak/>
              <w:t>Monitoring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System musi zapewnić możliwość monitorowania środowiska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wirtualizacyjnego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opartego na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VMware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vSphere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Microsoft Hyper-V bez potrzeby korzystania z narzędzi firm trzecich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System musi umożliwiać monitorowanie środowiska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wirtualizacyjnego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VMware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wersji 6.x, 7.x oraz 8.0 – zarówno w bezpłatnej wersji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ESXi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jak i w pełnej wersji ESX/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ESXi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zarządzane przez konsole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vCenter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Server lub pracujące samodzielnie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System musi umożliwiać monitorowanie środowiska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wirtualizacyjnego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Microsoft Hyper-V 2012, 2012R2, 2016, 2019 oraz 2022 zarówno w wersji darmowej jak i zawartej w płatnej licencji Microsoft Windows Server zarządzane poprzez System Center Virtual Machine Manager lub pracujące samodzielnie.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System musi umożliwiać kategoryzacje obiektów infrastruktury wirtualnej niezależnie od hierarchii stworzonej w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vCenter</w:t>
            </w:r>
            <w:proofErr w:type="spellEnd"/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System musi umożliwiać tworzenie alarmów dla całych grup wirtualnych maszyn jak i pojedynczych wirtualnych maszyn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System musi dawać możliwość układania terminarza raportów i wysyłania tych raportów przy pomocy poczty elektronicznej w formacie HTML oraz Excel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System musi dawać możliwość podłączenia się do kilku instancji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vCenter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Server i serwerów Hyper-V jednocześnie, w celu centralnego monitorowania wielu środowisk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System musi mieć wbudowane predefiniowane zestawy alarmów wraz z możliwością tworzenia własnych alarmów i zdarzeń przez administratora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System musi mieć wbudowane połączenie z bazą wiedzy opisującą problemy z predefiniowanych alarmów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System musi mieć centralną konsolę z sumarycznym podglądem wszystkich obiektów infrastruktury wirtualnej (ang. Dashboard)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System musi mieć możliwość monitorowania platformy sprzętowej, na której jest zainstalowana infrastruktura wirtualna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System musi zapewnić możliwość podłączenia się do wirtualnej maszyny (tryb konsoli) bezpośrednio z narzędzia monitorującego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System musi mieć możliwość integracji z oprogramowaniem do tworzenia kopii zapasowych tego samego producenta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System musi mieć możliwość monitorowania obciążenia serwerów backupowych, ilości zabezpieczanych danych oraz statusu zadań kopii zapasowych, replikacji oraz weryfikacji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odzyskiwalności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maszyn wirtualnych.</w:t>
            </w:r>
          </w:p>
        </w:tc>
      </w:tr>
      <w:tr w:rsidR="004A7B17" w:rsidRPr="00623F5D" w:rsidTr="004A7B17">
        <w:trPr>
          <w:trHeight w:val="96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backupu.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System musi mieć możliwość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granularnego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monitorowania infrastruktury, zależnego od uprawnień nadanym użytkownikom dla platformy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VMware</w:t>
            </w:r>
            <w:proofErr w:type="spellEnd"/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System musi mieć możliwość monitorowania instancji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VMware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vCloud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Director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wersji od 10.x do 10.4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Raportowanie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System musi umożliwiać raportowanie środowiska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wirtualizacyjnego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VMware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wersji 6.x, 7.x oraz 8.0 – zarówno w bezpłatnej wersji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ESXi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jak i w pełnej wersji ESX/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ESXi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zarządzane przez konsole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vCenter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Server lub pracujące samodzielnie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System musi umożliwiać raportowanie środowiska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wirtualizacyjnego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Microsoft Hyper-V 2012, 2012R2, 2016, 2019 oraz 2022 zarówno w wersji darmowej jak i zawartej w płatnej licencji Microsoft </w:t>
            </w: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Windows Server zarządzane poprzez System Center Virtual Machine Manager lub pracujące samodzielnie.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 xml:space="preserve">System musi wspierać wiele instancji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vCenter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Server i Microsoft Hyper-V jednocześnie bez konieczności instalowania dodatkowych modułów.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System musi być systemem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bezagentowym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Nie dopuszcza się możliwości instalowania przez system agentów na monitorowanych hostach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ESXi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Hyper-V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System musi mieć możliwość eksportowania raportów do formatów Microsoft Word, Microsoft Excel, Microsoft Visio, Adobe PDF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System musi mieć możliwość ustawienia harmonogramu kolekcji danych z monitorowanych systemów jak również możliwość tworzenia zadań kolekcjonowania danych ad-hoc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System musi mieć możliwość ustawienia harmonogramu generowania raportów i dostarczania ich do odbiorców w określonych przez administratora interwałach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System w raportach musi mieć możliwość uwzględniania informacji o zmianach konfiguracji monitorowanych systemów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System musi mieć możliwość generowania raportów z dowolnego punktu w czasie zakładając, że informacje z tego czasu nie zostały usunięte z bazy danych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System musi posiadać predefiniowane szablony z możliwością tworzenia nowych jak i modyfikacji wbudowanych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System musi mieć możliwość analizowania „przeszacowanych” wirtualnych maszyn wraz z sugestią zmian w celu optymalnego wykorzystania fizycznej infrastruktury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System musi mieć możliwość generowania raportów na podstawie danych uzyskanych z oprogramowania do tworzenia kopii zapasowych tego samego producenta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System musi mieć możliwość generowania raportu dotyczącego zabezpieczanych maszyn, zdefiniowanych zadań tworzenia kopii zapasowych oraz replikacji jak również wykorzystania zasobów serwerów backupowych.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System musi mieć możliwość generowania raportu planowania pojemności (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capacity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planning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) bazującego na scenariuszach ‘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what-if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’.</w:t>
            </w:r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System musi mieć możliwość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granularnego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raportowania infrastruktury, zależnego od uprawnień nadanym użytkownikom dla platformy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VMware</w:t>
            </w:r>
            <w:proofErr w:type="spellEnd"/>
          </w:p>
        </w:tc>
      </w:tr>
      <w:tr w:rsidR="004A7B17" w:rsidRPr="00623F5D" w:rsidTr="004A7B17">
        <w:trPr>
          <w:trHeight w:val="3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System musi mieć możliwość generowania raportów dotyczących tzw. migawek-sierot (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orphaned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snapshots</w:t>
            </w:r>
            <w:proofErr w:type="spellEnd"/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4A7B17" w:rsidRPr="00623F5D" w:rsidTr="004A7B17">
        <w:trPr>
          <w:trHeight w:val="64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A7B17" w:rsidRPr="0097406E" w:rsidRDefault="004A7B17" w:rsidP="004A7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406E">
              <w:rPr>
                <w:rFonts w:ascii="Calibri" w:eastAsia="Times New Roman" w:hAnsi="Calibri" w:cs="Calibri"/>
                <w:color w:val="000000"/>
                <w:lang w:eastAsia="pl-PL"/>
              </w:rPr>
              <w:t>System musi mieć możliwość generowania personalizowanych raportów zawierających informacje z dowolnych predefiniowanych raportów w pojedynczym dokumencie</w:t>
            </w:r>
          </w:p>
        </w:tc>
      </w:tr>
    </w:tbl>
    <w:p w:rsidR="004A7B17" w:rsidRPr="00623F5D" w:rsidRDefault="004A7B17">
      <w:pPr>
        <w:rPr>
          <w:rFonts w:ascii="Verdana" w:hAnsi="Verdana"/>
          <w:sz w:val="20"/>
        </w:rPr>
      </w:pPr>
    </w:p>
    <w:sectPr w:rsidR="004A7B17" w:rsidRPr="00623F5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0BB" w:rsidRDefault="002710BB" w:rsidP="009672C5">
      <w:pPr>
        <w:spacing w:after="0" w:line="240" w:lineRule="auto"/>
      </w:pPr>
      <w:r>
        <w:separator/>
      </w:r>
    </w:p>
  </w:endnote>
  <w:endnote w:type="continuationSeparator" w:id="0">
    <w:p w:rsidR="002710BB" w:rsidRDefault="002710BB" w:rsidP="00967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0BB" w:rsidRDefault="002710BB" w:rsidP="009672C5">
      <w:pPr>
        <w:spacing w:after="0" w:line="240" w:lineRule="auto"/>
      </w:pPr>
      <w:r>
        <w:separator/>
      </w:r>
    </w:p>
  </w:footnote>
  <w:footnote w:type="continuationSeparator" w:id="0">
    <w:p w:rsidR="002710BB" w:rsidRDefault="002710BB" w:rsidP="00967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2C5" w:rsidRDefault="009672C5">
    <w:pPr>
      <w:pStyle w:val="Nagwek"/>
    </w:pPr>
    <w:r>
      <w:rPr>
        <w:noProof/>
        <w:lang w:eastAsia="pl-PL"/>
      </w:rPr>
      <w:drawing>
        <wp:inline distT="0" distB="0" distL="0" distR="0" wp14:anchorId="7071CEE9" wp14:editId="591BBFB9">
          <wp:extent cx="5760720" cy="5969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C52"/>
    <w:rsid w:val="00090341"/>
    <w:rsid w:val="0011489F"/>
    <w:rsid w:val="001E6C52"/>
    <w:rsid w:val="002710BB"/>
    <w:rsid w:val="002E0F0D"/>
    <w:rsid w:val="002E51FB"/>
    <w:rsid w:val="003D488C"/>
    <w:rsid w:val="003E6C2F"/>
    <w:rsid w:val="004A7B17"/>
    <w:rsid w:val="00623F5D"/>
    <w:rsid w:val="006B7535"/>
    <w:rsid w:val="006D4500"/>
    <w:rsid w:val="007C1236"/>
    <w:rsid w:val="008660B9"/>
    <w:rsid w:val="00896311"/>
    <w:rsid w:val="009672C5"/>
    <w:rsid w:val="0097406E"/>
    <w:rsid w:val="00B001A5"/>
    <w:rsid w:val="00B62D12"/>
    <w:rsid w:val="00E45F3D"/>
    <w:rsid w:val="00F2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AE674"/>
  <w15:chartTrackingRefBased/>
  <w15:docId w15:val="{4EB6CDD6-C461-48C7-9F5A-C571B894F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A7B17"/>
    <w:rPr>
      <w:color w:val="0000FF"/>
      <w:u w:val="single"/>
    </w:rPr>
  </w:style>
  <w:style w:type="character" w:customStyle="1" w:styleId="czeinternetowe">
    <w:name w:val="Łącze internetowe"/>
    <w:rsid w:val="004A7B1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67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72C5"/>
  </w:style>
  <w:style w:type="paragraph" w:styleId="Stopka">
    <w:name w:val="footer"/>
    <w:basedOn w:val="Normalny"/>
    <w:link w:val="StopkaZnak"/>
    <w:uiPriority w:val="99"/>
    <w:unhideWhenUsed/>
    <w:rsid w:val="00967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3079</Words>
  <Characters>18479</Characters>
  <Application>Microsoft Office Word</Application>
  <DocSecurity>0</DocSecurity>
  <Lines>153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admin.l</dc:creator>
  <cp:keywords/>
  <dc:description/>
  <cp:lastModifiedBy>A.Ula</cp:lastModifiedBy>
  <cp:revision>9</cp:revision>
  <dcterms:created xsi:type="dcterms:W3CDTF">2024-10-29T12:08:00Z</dcterms:created>
  <dcterms:modified xsi:type="dcterms:W3CDTF">2024-11-07T10:43:00Z</dcterms:modified>
</cp:coreProperties>
</file>