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2" w:rsidRDefault="00152B89" w:rsidP="00FF5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142EA" w:rsidRDefault="00152B8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Bielsk Podlaski, </w:t>
      </w:r>
      <w:r w:rsidR="00B676FD">
        <w:rPr>
          <w:sz w:val="20"/>
          <w:szCs w:val="20"/>
        </w:rPr>
        <w:t>dnia 0</w:t>
      </w:r>
      <w:r w:rsidR="00FA1AA7">
        <w:rPr>
          <w:sz w:val="20"/>
          <w:szCs w:val="20"/>
        </w:rPr>
        <w:t>5</w:t>
      </w:r>
      <w:r w:rsidR="00B676FD">
        <w:rPr>
          <w:sz w:val="20"/>
          <w:szCs w:val="20"/>
        </w:rPr>
        <w:t xml:space="preserve"> września</w:t>
      </w:r>
      <w:r w:rsidR="00652D4E">
        <w:rPr>
          <w:sz w:val="20"/>
          <w:szCs w:val="20"/>
        </w:rPr>
        <w:t xml:space="preserve"> </w:t>
      </w:r>
      <w:r>
        <w:rPr>
          <w:sz w:val="20"/>
          <w:szCs w:val="20"/>
        </w:rPr>
        <w:t>2022 r.</w:t>
      </w:r>
    </w:p>
    <w:p w:rsidR="00B327CF" w:rsidRPr="007F349E" w:rsidRDefault="00B327CF" w:rsidP="00B327CF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MIASTO BIELSK PODLASKI </w:t>
      </w:r>
    </w:p>
    <w:p w:rsidR="00B327CF" w:rsidRPr="007F349E" w:rsidRDefault="00B327CF" w:rsidP="00B327CF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17-100 Bielsk podlaski </w:t>
      </w:r>
    </w:p>
    <w:p w:rsidR="00B327CF" w:rsidRPr="007F349E" w:rsidRDefault="00B327CF" w:rsidP="00B327CF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ul. Kopernika 1 </w:t>
      </w:r>
    </w:p>
    <w:p w:rsidR="00B327CF" w:rsidRPr="007F349E" w:rsidRDefault="00B327CF" w:rsidP="00B327CF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NIP 5432066155, Reg. 050658982 </w:t>
      </w:r>
    </w:p>
    <w:p w:rsidR="00A142EA" w:rsidRDefault="00A142EA">
      <w:pPr>
        <w:spacing w:line="360" w:lineRule="auto"/>
        <w:jc w:val="right"/>
        <w:rPr>
          <w:sz w:val="20"/>
          <w:szCs w:val="20"/>
        </w:rPr>
      </w:pPr>
    </w:p>
    <w:p w:rsidR="00A142EA" w:rsidRDefault="00152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="004B3223"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271.</w:t>
      </w:r>
      <w:r w:rsidR="00CD6966">
        <w:rPr>
          <w:rFonts w:ascii="Arial" w:eastAsia="Arial" w:hAnsi="Arial" w:cs="Arial"/>
          <w:b/>
          <w:color w:val="000000"/>
          <w:sz w:val="20"/>
          <w:szCs w:val="20"/>
        </w:rPr>
        <w:t>3</w:t>
      </w:r>
      <w:r w:rsidR="00B676FD">
        <w:rPr>
          <w:rFonts w:ascii="Arial" w:eastAsia="Arial" w:hAnsi="Arial" w:cs="Arial"/>
          <w:b/>
          <w:color w:val="000000"/>
          <w:sz w:val="20"/>
          <w:szCs w:val="20"/>
        </w:rPr>
        <w:t>4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.2022</w:t>
      </w:r>
    </w:p>
    <w:p w:rsidR="00A142EA" w:rsidRDefault="00152B8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Wszystkich Wykonawców</w:t>
      </w: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152B8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</w:t>
      </w:r>
      <w:r w:rsidR="00701207">
        <w:rPr>
          <w:b/>
          <w:sz w:val="20"/>
          <w:szCs w:val="20"/>
          <w:u w:val="single"/>
        </w:rPr>
        <w:t>Warunków Zamówienia nr</w:t>
      </w:r>
      <w:r w:rsidR="008767B9">
        <w:rPr>
          <w:b/>
          <w:sz w:val="20"/>
          <w:szCs w:val="20"/>
          <w:u w:val="single"/>
        </w:rPr>
        <w:t xml:space="preserve"> </w:t>
      </w:r>
      <w:r w:rsidR="0056454A">
        <w:rPr>
          <w:b/>
          <w:sz w:val="20"/>
          <w:szCs w:val="20"/>
          <w:u w:val="single"/>
        </w:rPr>
        <w:t>1</w:t>
      </w: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152B89" w:rsidP="00720E6D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 w:rsidR="00720E6D" w:rsidRPr="00720E6D">
        <w:rPr>
          <w:rFonts w:ascii="Arial" w:eastAsia="Arial Narrow" w:hAnsi="Arial" w:cs="Arial"/>
          <w:color w:val="000000"/>
          <w:sz w:val="20"/>
          <w:szCs w:val="20"/>
        </w:rPr>
        <w:t xml:space="preserve"> </w:t>
      </w:r>
      <w:r w:rsidR="00720E6D" w:rsidRPr="005F361B">
        <w:rPr>
          <w:rFonts w:ascii="Arial" w:eastAsia="Arial Narrow" w:hAnsi="Arial" w:cs="Arial"/>
          <w:color w:val="000000"/>
          <w:sz w:val="20"/>
          <w:szCs w:val="20"/>
        </w:rPr>
        <w:t xml:space="preserve">w </w:t>
      </w:r>
      <w:r w:rsidR="00720E6D" w:rsidRPr="00542847">
        <w:rPr>
          <w:rFonts w:eastAsia="Arial Narrow"/>
          <w:color w:val="000000"/>
          <w:sz w:val="20"/>
          <w:szCs w:val="20"/>
        </w:rPr>
        <w:t>trybie podstawowym bez przeprowadzenia negocjacji</w:t>
      </w:r>
      <w:r w:rsidR="00720E6D">
        <w:rPr>
          <w:rFonts w:eastAsia="Arial Narrow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pn.:  </w:t>
      </w:r>
    </w:p>
    <w:p w:rsidR="00A142EA" w:rsidRDefault="00A142EA">
      <w:pPr>
        <w:jc w:val="center"/>
        <w:rPr>
          <w:b/>
          <w:i/>
          <w:sz w:val="20"/>
          <w:szCs w:val="20"/>
        </w:rPr>
      </w:pPr>
    </w:p>
    <w:p w:rsidR="0056454A" w:rsidRDefault="0056454A" w:rsidP="0056454A">
      <w:pPr>
        <w:shd w:val="clear" w:color="auto" w:fill="FFFFFF"/>
        <w:tabs>
          <w:tab w:val="left" w:leader="dot" w:pos="9259"/>
          <w:tab w:val="left" w:leader="dot" w:pos="9356"/>
        </w:tabs>
        <w:ind w:left="360"/>
        <w:jc w:val="center"/>
        <w:rPr>
          <w:rFonts w:ascii="Arial Black" w:eastAsia="Times New Roman" w:hAnsi="Arial Black"/>
          <w:b/>
          <w:bCs/>
        </w:rPr>
      </w:pPr>
      <w:r>
        <w:rPr>
          <w:rFonts w:ascii="Arial Black" w:eastAsia="Times New Roman" w:hAnsi="Arial Black"/>
          <w:b/>
          <w:bCs/>
          <w:u w:val="single"/>
        </w:rPr>
        <w:t xml:space="preserve">TĘŻNIA SOLANKOWA W BIELSKU PODLASKIM </w:t>
      </w:r>
      <w:r>
        <w:rPr>
          <w:rFonts w:ascii="Arial Black" w:eastAsia="Times New Roman" w:hAnsi="Arial Black"/>
          <w:b/>
          <w:bCs/>
          <w:u w:val="single"/>
        </w:rPr>
        <w:br/>
        <w:t xml:space="preserve"> W SYSTEMIE ,,ZAPROJEKTUJ I WYBUDUJ” </w:t>
      </w:r>
      <w:r>
        <w:rPr>
          <w:rFonts w:ascii="Arial Black" w:eastAsia="Times New Roman" w:hAnsi="Arial Black"/>
          <w:b/>
          <w:bCs/>
        </w:rPr>
        <w:t xml:space="preserve"> w ramach zadania </w:t>
      </w:r>
      <w:r>
        <w:rPr>
          <w:rFonts w:ascii="Arial Black" w:eastAsia="Times New Roman" w:hAnsi="Arial Black"/>
          <w:b/>
          <w:bCs/>
        </w:rPr>
        <w:br/>
        <w:t>TĘŻNIA SOLANKOWA  W BIELSKU PODLASKIM</w:t>
      </w:r>
    </w:p>
    <w:p w:rsidR="00B327CF" w:rsidRDefault="00B327CF" w:rsidP="0056454A">
      <w:pPr>
        <w:jc w:val="center"/>
        <w:rPr>
          <w:b/>
          <w:i/>
          <w:sz w:val="20"/>
          <w:szCs w:val="20"/>
        </w:rPr>
      </w:pPr>
    </w:p>
    <w:p w:rsidR="00B327CF" w:rsidRDefault="00B327CF" w:rsidP="0056454A">
      <w:pPr>
        <w:jc w:val="center"/>
        <w:rPr>
          <w:b/>
          <w:i/>
          <w:sz w:val="20"/>
          <w:szCs w:val="20"/>
        </w:rPr>
      </w:pPr>
    </w:p>
    <w:p w:rsidR="00B327CF" w:rsidRDefault="00B327CF" w:rsidP="0056454A">
      <w:pPr>
        <w:jc w:val="center"/>
        <w:rPr>
          <w:b/>
          <w:i/>
          <w:sz w:val="20"/>
          <w:szCs w:val="20"/>
        </w:rPr>
      </w:pPr>
    </w:p>
    <w:p w:rsidR="00A142EA" w:rsidRDefault="00152B89" w:rsidP="0056454A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A142EA" w:rsidRDefault="00A142EA">
      <w:pPr>
        <w:jc w:val="both"/>
        <w:rPr>
          <w:sz w:val="20"/>
          <w:szCs w:val="20"/>
        </w:rPr>
      </w:pPr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</w:t>
      </w:r>
      <w:r w:rsidR="00395BB2">
        <w:rPr>
          <w:sz w:val="20"/>
          <w:szCs w:val="20"/>
        </w:rPr>
        <w:t>ów</w:t>
      </w:r>
      <w:r>
        <w:rPr>
          <w:sz w:val="20"/>
          <w:szCs w:val="20"/>
        </w:rPr>
        <w:t>, Zamawiający poniżej przedstawia swoje stanowisko:</w:t>
      </w:r>
    </w:p>
    <w:p w:rsidR="00A142EA" w:rsidRDefault="00A142EA">
      <w:pPr>
        <w:jc w:val="both"/>
        <w:rPr>
          <w:sz w:val="20"/>
          <w:szCs w:val="20"/>
        </w:rPr>
      </w:pPr>
    </w:p>
    <w:p w:rsidR="00B327CF" w:rsidRDefault="00B327CF">
      <w:pPr>
        <w:jc w:val="both"/>
        <w:rPr>
          <w:sz w:val="20"/>
          <w:szCs w:val="20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A142EA">
        <w:trPr>
          <w:trHeight w:val="388"/>
        </w:trPr>
        <w:tc>
          <w:tcPr>
            <w:tcW w:w="9056" w:type="dxa"/>
            <w:shd w:val="clear" w:color="auto" w:fill="D9D9D9"/>
          </w:tcPr>
          <w:p w:rsidR="00A142EA" w:rsidRDefault="00152B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</w:t>
            </w:r>
            <w:r w:rsidR="00565358">
              <w:rPr>
                <w:b/>
                <w:i/>
                <w:sz w:val="20"/>
                <w:szCs w:val="20"/>
              </w:rPr>
              <w:t>a</w:t>
            </w:r>
            <w:r>
              <w:rPr>
                <w:b/>
                <w:i/>
                <w:sz w:val="20"/>
                <w:szCs w:val="20"/>
              </w:rPr>
              <w:t xml:space="preserve"> z dnia </w:t>
            </w:r>
            <w:r w:rsidR="00395BB2">
              <w:rPr>
                <w:b/>
                <w:i/>
                <w:sz w:val="20"/>
                <w:szCs w:val="20"/>
              </w:rPr>
              <w:t>3</w:t>
            </w:r>
            <w:r w:rsidR="00652D4E">
              <w:rPr>
                <w:b/>
                <w:i/>
                <w:sz w:val="20"/>
                <w:szCs w:val="20"/>
              </w:rPr>
              <w:t>0.08</w:t>
            </w:r>
            <w:r>
              <w:rPr>
                <w:b/>
                <w:i/>
                <w:sz w:val="20"/>
                <w:szCs w:val="20"/>
              </w:rPr>
              <w:t>.2022 r.</w:t>
            </w:r>
          </w:p>
          <w:p w:rsidR="00A142EA" w:rsidRDefault="00A142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42EA" w:rsidTr="009308B6">
        <w:trPr>
          <w:trHeight w:val="1068"/>
        </w:trPr>
        <w:tc>
          <w:tcPr>
            <w:tcW w:w="9056" w:type="dxa"/>
            <w:shd w:val="clear" w:color="auto" w:fill="auto"/>
          </w:tcPr>
          <w:p w:rsidR="00A142EA" w:rsidRDefault="003F3223" w:rsidP="00652D4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56454A">
              <w:rPr>
                <w:b/>
                <w:sz w:val="20"/>
                <w:szCs w:val="20"/>
                <w:u w:val="single"/>
              </w:rPr>
              <w:t>1</w:t>
            </w:r>
          </w:p>
          <w:p w:rsidR="0056454A" w:rsidRPr="00A46985" w:rsidRDefault="0056454A" w:rsidP="0056454A">
            <w:pPr>
              <w:autoSpaceDE w:val="0"/>
              <w:autoSpaceDN w:val="0"/>
              <w:adjustRightInd w:val="0"/>
              <w:rPr>
                <w:color w:val="666666"/>
                <w:sz w:val="18"/>
                <w:szCs w:val="18"/>
              </w:rPr>
            </w:pPr>
            <w:r w:rsidRPr="00A46985">
              <w:rPr>
                <w:color w:val="666666"/>
                <w:sz w:val="18"/>
                <w:szCs w:val="18"/>
              </w:rPr>
              <w:t>Czy Zamawiający wyrazi zgodę na zastąpienie drewna modrzewiowego klasy C24 drewnem sosnowym</w:t>
            </w:r>
          </w:p>
          <w:p w:rsidR="003F3223" w:rsidRPr="00652D4E" w:rsidRDefault="0056454A" w:rsidP="00A469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6985">
              <w:rPr>
                <w:color w:val="666666"/>
                <w:sz w:val="18"/>
                <w:szCs w:val="18"/>
              </w:rPr>
              <w:t>lub świerkowym suchym heblowanym bez wskazywania klasy? W chwili obecnej sytuacja na rynku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drewna może powodować trudności z pozyskaniem wymaganego materiału lub całkowicie uniemożliwić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 xml:space="preserve">realizację inwestycji. </w:t>
            </w:r>
          </w:p>
        </w:tc>
      </w:tr>
      <w:tr w:rsidR="0010091A" w:rsidTr="00B327CF">
        <w:trPr>
          <w:trHeight w:val="829"/>
        </w:trPr>
        <w:tc>
          <w:tcPr>
            <w:tcW w:w="9056" w:type="dxa"/>
            <w:shd w:val="clear" w:color="auto" w:fill="auto"/>
          </w:tcPr>
          <w:p w:rsidR="0010091A" w:rsidRDefault="0010091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1</w:t>
            </w:r>
          </w:p>
          <w:p w:rsidR="0010091A" w:rsidRPr="0010091A" w:rsidRDefault="0010091A" w:rsidP="00FA1AA7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A15EB">
              <w:rPr>
                <w:sz w:val="18"/>
                <w:szCs w:val="18"/>
              </w:rPr>
              <w:t xml:space="preserve">Do budowy tężni solankowej należy użyć drewna modrzewiowego lub świerkowego o takiej samej klasie C24.. </w:t>
            </w:r>
          </w:p>
        </w:tc>
      </w:tr>
      <w:tr w:rsidR="00B676FD">
        <w:trPr>
          <w:trHeight w:val="388"/>
        </w:trPr>
        <w:tc>
          <w:tcPr>
            <w:tcW w:w="9056" w:type="dxa"/>
            <w:shd w:val="clear" w:color="auto" w:fill="auto"/>
          </w:tcPr>
          <w:p w:rsidR="0010091A" w:rsidRDefault="00B676FD" w:rsidP="00B676F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9"/>
                <w:szCs w:val="19"/>
              </w:rPr>
            </w:pPr>
            <w:r w:rsidRPr="0010091A">
              <w:rPr>
                <w:b/>
                <w:color w:val="262626" w:themeColor="text1" w:themeTint="D9"/>
                <w:sz w:val="20"/>
                <w:szCs w:val="20"/>
                <w:u w:val="single"/>
              </w:rPr>
              <w:t>Pytanie 2.</w:t>
            </w:r>
            <w:r>
              <w:rPr>
                <w:rFonts w:ascii="DejaVuSansCondensed" w:hAnsi="DejaVuSansCondensed" w:cs="DejaVuSansCondensed"/>
                <w:color w:val="666666"/>
                <w:sz w:val="19"/>
                <w:szCs w:val="19"/>
              </w:rPr>
              <w:t xml:space="preserve"> </w:t>
            </w:r>
          </w:p>
          <w:p w:rsidR="0010091A" w:rsidRPr="00BF717A" w:rsidRDefault="00B676FD" w:rsidP="0010091A">
            <w:pPr>
              <w:autoSpaceDE w:val="0"/>
              <w:autoSpaceDN w:val="0"/>
              <w:adjustRightInd w:val="0"/>
              <w:rPr>
                <w:color w:val="666666"/>
                <w:sz w:val="18"/>
                <w:szCs w:val="18"/>
              </w:rPr>
            </w:pPr>
            <w:r w:rsidRPr="00BF717A">
              <w:rPr>
                <w:color w:val="666666"/>
                <w:sz w:val="18"/>
                <w:szCs w:val="18"/>
              </w:rPr>
              <w:t>W związku z koniecznością dokonania uzgodnienia projektu</w:t>
            </w:r>
            <w:r w:rsidR="0010091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budowlanego oraz proponowanych rozwiązań z WKZ przygotowanie oferty jest znacznie utrudnione. Czy</w:t>
            </w:r>
            <w:r w:rsidR="0010091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Zamawiający może dookreślić przedmiot zamówienia uściślając wymagania dotyczące konstrukcji dachu</w:t>
            </w:r>
            <w:r w:rsidR="0010091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 xml:space="preserve">oraz pokrycia dachowego? Rodzaj pokrycia (gont bitumiczny, </w:t>
            </w:r>
            <w:proofErr w:type="spellStart"/>
            <w:r w:rsidRPr="00BF717A">
              <w:rPr>
                <w:color w:val="666666"/>
                <w:sz w:val="18"/>
                <w:szCs w:val="18"/>
              </w:rPr>
              <w:t>blachodachówka</w:t>
            </w:r>
            <w:proofErr w:type="spellEnd"/>
            <w:r w:rsidRPr="00BF717A">
              <w:rPr>
                <w:color w:val="666666"/>
                <w:sz w:val="18"/>
                <w:szCs w:val="18"/>
              </w:rPr>
              <w:t>, dachówka ceramiczna lub</w:t>
            </w:r>
            <w:r w:rsidR="0010091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gont drewniany) może znacząco wpłynąć na końcową cenę przedmiotu zamówienia.</w:t>
            </w:r>
          </w:p>
        </w:tc>
      </w:tr>
      <w:tr w:rsidR="0010091A">
        <w:trPr>
          <w:trHeight w:val="388"/>
        </w:trPr>
        <w:tc>
          <w:tcPr>
            <w:tcW w:w="9056" w:type="dxa"/>
            <w:shd w:val="clear" w:color="auto" w:fill="auto"/>
          </w:tcPr>
          <w:p w:rsidR="0010091A" w:rsidRDefault="0010091A" w:rsidP="0010091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</w:t>
            </w:r>
            <w:r w:rsidR="00852415">
              <w:rPr>
                <w:b/>
                <w:sz w:val="20"/>
                <w:szCs w:val="20"/>
                <w:u w:val="single"/>
              </w:rPr>
              <w:t>powiedź nr 2</w:t>
            </w:r>
          </w:p>
          <w:p w:rsidR="0010091A" w:rsidRDefault="009308B6" w:rsidP="0093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5EB">
              <w:rPr>
                <w:sz w:val="18"/>
                <w:szCs w:val="18"/>
              </w:rPr>
              <w:t xml:space="preserve">Konstrukcja dachu – drewniana, pokrycie dachowe – gont bitumiczny </w:t>
            </w:r>
            <w:r>
              <w:rPr>
                <w:sz w:val="18"/>
                <w:szCs w:val="18"/>
              </w:rPr>
              <w:t>.</w:t>
            </w:r>
          </w:p>
          <w:p w:rsidR="009308B6" w:rsidRPr="0010091A" w:rsidRDefault="009308B6" w:rsidP="009308B6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sz w:val="20"/>
                <w:szCs w:val="20"/>
                <w:u w:val="single"/>
              </w:rPr>
            </w:pPr>
          </w:p>
        </w:tc>
      </w:tr>
      <w:tr w:rsidR="00B676FD" w:rsidRPr="00BF717A">
        <w:trPr>
          <w:trHeight w:val="388"/>
        </w:trPr>
        <w:tc>
          <w:tcPr>
            <w:tcW w:w="9056" w:type="dxa"/>
            <w:shd w:val="clear" w:color="auto" w:fill="auto"/>
          </w:tcPr>
          <w:p w:rsidR="00B676FD" w:rsidRPr="00BF717A" w:rsidRDefault="00B676FD" w:rsidP="00B676FD">
            <w:pPr>
              <w:autoSpaceDE w:val="0"/>
              <w:autoSpaceDN w:val="0"/>
              <w:adjustRightInd w:val="0"/>
              <w:rPr>
                <w:b/>
                <w:color w:val="595959" w:themeColor="text1" w:themeTint="A6"/>
                <w:sz w:val="20"/>
                <w:szCs w:val="20"/>
                <w:u w:val="single"/>
              </w:rPr>
            </w:pPr>
            <w:r w:rsidRPr="00BF717A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Pytanie 3.</w:t>
            </w:r>
          </w:p>
          <w:p w:rsidR="00B676FD" w:rsidRPr="00BF717A" w:rsidRDefault="00B676FD" w:rsidP="00B676FD">
            <w:pPr>
              <w:autoSpaceDE w:val="0"/>
              <w:autoSpaceDN w:val="0"/>
              <w:adjustRightInd w:val="0"/>
              <w:rPr>
                <w:color w:val="666666"/>
                <w:sz w:val="18"/>
                <w:szCs w:val="18"/>
              </w:rPr>
            </w:pPr>
            <w:r w:rsidRPr="00BF717A">
              <w:rPr>
                <w:color w:val="666666"/>
                <w:sz w:val="18"/>
                <w:szCs w:val="18"/>
              </w:rPr>
              <w:t>Zamawiający przewidział w umowie karanie wykonawcy w wysokości 2% wartości zamówienia za każdy</w:t>
            </w:r>
          </w:p>
          <w:p w:rsidR="00B676FD" w:rsidRPr="00BF717A" w:rsidRDefault="00B676FD" w:rsidP="00B676FD">
            <w:pPr>
              <w:autoSpaceDE w:val="0"/>
              <w:autoSpaceDN w:val="0"/>
              <w:adjustRightInd w:val="0"/>
              <w:rPr>
                <w:color w:val="666666"/>
                <w:sz w:val="18"/>
                <w:szCs w:val="18"/>
              </w:rPr>
            </w:pPr>
            <w:r w:rsidRPr="00BF717A">
              <w:rPr>
                <w:color w:val="666666"/>
                <w:sz w:val="18"/>
                <w:szCs w:val="18"/>
              </w:rPr>
              <w:t>dzień opóźnienia. Przy środkach przeznaczonych na realizację zamówienia daje to kwotę 3200 zł</w:t>
            </w:r>
          </w:p>
          <w:p w:rsidR="00B676FD" w:rsidRPr="00BF717A" w:rsidRDefault="00B676FD" w:rsidP="00BF717A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i/>
                <w:color w:val="666666"/>
                <w:sz w:val="19"/>
                <w:szCs w:val="19"/>
              </w:rPr>
            </w:pPr>
            <w:r w:rsidRPr="00BF717A">
              <w:rPr>
                <w:color w:val="666666"/>
                <w:sz w:val="18"/>
                <w:szCs w:val="18"/>
              </w:rPr>
              <w:t>dziennie. Jednocześnie Zamawiający wymaga opracowania dokumentacji projektowej oraz realizacji robót</w:t>
            </w:r>
            <w:r w:rsidR="00BF717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wyznaczając termin 4 miesięcy od dnia podpisania umowy. Należy zauważyć, że termin wydania decyzji o</w:t>
            </w:r>
            <w:r w:rsidR="00BF717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warunkach zabudowy może wynosić nawet 60 dni a wydania pozwolenia na budowę 65 dni. Do tego</w:t>
            </w:r>
            <w:r w:rsidR="00BF717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dochodzą terminy na uzgodnienie dokumentacji z WKZ oraz czas potrzebny Zamawiającemu na</w:t>
            </w:r>
            <w:r w:rsid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zaakceptowanie projektowanych rozwiązań. W związku z powyższym proponowane przez Zamawiającego</w:t>
            </w:r>
            <w:r w:rsidR="00BF717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 xml:space="preserve">terminy czynią z przedmiotu zamówienia świadczenie niemożliwe do wypełnienia </w:t>
            </w:r>
            <w:r w:rsidRPr="00BF717A">
              <w:rPr>
                <w:color w:val="666666"/>
                <w:sz w:val="18"/>
                <w:szCs w:val="18"/>
              </w:rPr>
              <w:lastRenderedPageBreak/>
              <w:t>już przed podpisaniem</w:t>
            </w:r>
            <w:r w:rsidR="00BF717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umowy a Zamawiający skazuje potencjalnego wykonawcę na zapłatę kar w wysokości co najmniej 32000</w:t>
            </w:r>
            <w:r w:rsidR="00BF717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zł. Proszę o urealnienie terminów realizacji zamówienia - co najmniej 6 miesięcy na opracowanie</w:t>
            </w:r>
            <w:r w:rsidR="00BF717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dokumentacji projektowej i co najmniej 2 miesiące na realizację robót budowlanych.</w:t>
            </w:r>
          </w:p>
        </w:tc>
      </w:tr>
      <w:tr w:rsidR="00BF717A">
        <w:trPr>
          <w:trHeight w:val="388"/>
        </w:trPr>
        <w:tc>
          <w:tcPr>
            <w:tcW w:w="9056" w:type="dxa"/>
            <w:shd w:val="clear" w:color="auto" w:fill="auto"/>
          </w:tcPr>
          <w:p w:rsidR="00BF717A" w:rsidRDefault="00BF717A" w:rsidP="00BF717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Odpowiedź nr </w:t>
            </w:r>
            <w:r w:rsidR="00256273">
              <w:rPr>
                <w:b/>
                <w:sz w:val="20"/>
                <w:szCs w:val="20"/>
                <w:u w:val="single"/>
              </w:rPr>
              <w:t>3</w:t>
            </w:r>
          </w:p>
          <w:p w:rsidR="00BF717A" w:rsidRDefault="009308B6" w:rsidP="00B676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5EB">
              <w:rPr>
                <w:sz w:val="18"/>
                <w:szCs w:val="18"/>
              </w:rPr>
              <w:t>Zamawiający informuje, iż SWZ przewiduje możliwość przedłużenia terminu realizacji zamówienia. Zamawiający będzie analizował możliwość przedłużenia terminu realizacji zadania zgodnie z wnioskiem złożonym przez Wykonawcę na etapie realizacji zadania.</w:t>
            </w:r>
          </w:p>
          <w:p w:rsidR="009308B6" w:rsidRDefault="009308B6" w:rsidP="00B676F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9"/>
                <w:szCs w:val="19"/>
              </w:rPr>
            </w:pPr>
          </w:p>
          <w:p w:rsidR="006D6BEC" w:rsidRDefault="006D6BEC" w:rsidP="00B676F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9"/>
                <w:szCs w:val="19"/>
              </w:rPr>
            </w:pPr>
          </w:p>
        </w:tc>
      </w:tr>
      <w:tr w:rsidR="00B676FD" w:rsidTr="006D6BEC">
        <w:trPr>
          <w:trHeight w:val="770"/>
        </w:trPr>
        <w:tc>
          <w:tcPr>
            <w:tcW w:w="9056" w:type="dxa"/>
            <w:shd w:val="clear" w:color="auto" w:fill="auto"/>
          </w:tcPr>
          <w:p w:rsidR="00880CFA" w:rsidRDefault="00B676FD" w:rsidP="00880CFA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9"/>
                <w:szCs w:val="19"/>
              </w:rPr>
            </w:pPr>
            <w:r w:rsidRPr="00BF717A">
              <w:rPr>
                <w:b/>
                <w:color w:val="262626" w:themeColor="text1" w:themeTint="D9"/>
                <w:sz w:val="20"/>
                <w:szCs w:val="20"/>
                <w:u w:val="single"/>
              </w:rPr>
              <w:t>Pytanie 4</w:t>
            </w:r>
            <w:r w:rsidRPr="00BF717A">
              <w:rPr>
                <w:rFonts w:ascii="DejaVuSansCondensed" w:hAnsi="DejaVuSansCondensed" w:cs="DejaVuSansCondensed"/>
                <w:b/>
                <w:color w:val="262626" w:themeColor="text1" w:themeTint="D9"/>
                <w:sz w:val="19"/>
                <w:szCs w:val="19"/>
              </w:rPr>
              <w:t>.</w:t>
            </w:r>
            <w:r>
              <w:rPr>
                <w:rFonts w:ascii="DejaVuSansCondensed" w:hAnsi="DejaVuSansCondensed" w:cs="DejaVuSansCondensed"/>
                <w:color w:val="666666"/>
                <w:sz w:val="19"/>
                <w:szCs w:val="19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Proszę o</w:t>
            </w:r>
            <w:r w:rsidR="00880CF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dopuszczenie koryt z tworzywa sztucznego. Elementy technologii tężni nie będą widoczne natomiast</w:t>
            </w:r>
            <w:r w:rsidR="00880CF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zastosowanie tworzywa sztucznego na koryta opadowe wyeliminuje niebezpieczeństwo wypaczenia</w:t>
            </w:r>
            <w:r w:rsidR="00880CFA" w:rsidRPr="00BF717A">
              <w:rPr>
                <w:color w:val="666666"/>
                <w:sz w:val="18"/>
                <w:szCs w:val="18"/>
              </w:rPr>
              <w:t xml:space="preserve"> </w:t>
            </w:r>
            <w:r w:rsidRPr="00BF717A">
              <w:rPr>
                <w:color w:val="666666"/>
                <w:sz w:val="18"/>
                <w:szCs w:val="18"/>
              </w:rPr>
              <w:t>koryta i nierównomiernego rozpływu. Tym samym ograniczy koszty eksploatacji</w:t>
            </w:r>
            <w:r w:rsidR="00880CFA" w:rsidRPr="00BF717A">
              <w:rPr>
                <w:color w:val="666666"/>
                <w:sz w:val="18"/>
                <w:szCs w:val="18"/>
              </w:rPr>
              <w:t>.</w:t>
            </w:r>
          </w:p>
          <w:p w:rsidR="00B676FD" w:rsidRDefault="00B676FD" w:rsidP="00B676F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666666"/>
                <w:sz w:val="19"/>
                <w:szCs w:val="19"/>
              </w:rPr>
            </w:pPr>
          </w:p>
        </w:tc>
      </w:tr>
      <w:tr w:rsidR="00256273">
        <w:trPr>
          <w:trHeight w:val="388"/>
        </w:trPr>
        <w:tc>
          <w:tcPr>
            <w:tcW w:w="9056" w:type="dxa"/>
            <w:shd w:val="clear" w:color="auto" w:fill="auto"/>
          </w:tcPr>
          <w:p w:rsidR="00256273" w:rsidRDefault="00256273" w:rsidP="00256273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4</w:t>
            </w:r>
          </w:p>
          <w:p w:rsidR="00256273" w:rsidRPr="007A2DD9" w:rsidRDefault="00647660" w:rsidP="00880CFA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7A2DD9">
              <w:rPr>
                <w:color w:val="262626" w:themeColor="text1" w:themeTint="D9"/>
                <w:sz w:val="20"/>
                <w:szCs w:val="20"/>
              </w:rPr>
              <w:t>Zamawiajacy</w:t>
            </w:r>
            <w:proofErr w:type="spellEnd"/>
            <w:r w:rsidRPr="007A2DD9">
              <w:rPr>
                <w:color w:val="262626" w:themeColor="text1" w:themeTint="D9"/>
                <w:sz w:val="20"/>
                <w:szCs w:val="20"/>
              </w:rPr>
              <w:t xml:space="preserve"> nie dopuszcza</w:t>
            </w:r>
            <w:r w:rsidR="007A2DD9" w:rsidRPr="007A2DD9">
              <w:rPr>
                <w:color w:val="262626" w:themeColor="text1" w:themeTint="D9"/>
                <w:sz w:val="20"/>
                <w:szCs w:val="20"/>
              </w:rPr>
              <w:t xml:space="preserve"> zastosowania </w:t>
            </w:r>
            <w:r w:rsidRPr="007A2DD9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7A2DD9">
              <w:rPr>
                <w:color w:val="262626" w:themeColor="text1" w:themeTint="D9"/>
                <w:sz w:val="18"/>
                <w:szCs w:val="18"/>
              </w:rPr>
              <w:t>koryt z tworzywa sztucznego</w:t>
            </w:r>
            <w:r w:rsidR="009308B6" w:rsidRPr="007A2DD9">
              <w:rPr>
                <w:color w:val="262626" w:themeColor="text1" w:themeTint="D9"/>
                <w:sz w:val="18"/>
                <w:szCs w:val="18"/>
              </w:rPr>
              <w:t>.</w:t>
            </w:r>
          </w:p>
          <w:p w:rsidR="009308B6" w:rsidRDefault="009308B6" w:rsidP="00880CFA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sz w:val="20"/>
                <w:szCs w:val="20"/>
                <w:u w:val="single"/>
              </w:rPr>
            </w:pPr>
          </w:p>
          <w:p w:rsidR="006D6BEC" w:rsidRPr="00BF717A" w:rsidRDefault="006D6BEC" w:rsidP="00880CFA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sz w:val="20"/>
                <w:szCs w:val="20"/>
                <w:u w:val="single"/>
              </w:rPr>
            </w:pPr>
          </w:p>
        </w:tc>
      </w:tr>
      <w:tr w:rsidR="00880CFA">
        <w:trPr>
          <w:trHeight w:val="388"/>
        </w:trPr>
        <w:tc>
          <w:tcPr>
            <w:tcW w:w="9056" w:type="dxa"/>
            <w:shd w:val="clear" w:color="auto" w:fill="auto"/>
          </w:tcPr>
          <w:p w:rsidR="00256273" w:rsidRPr="00256273" w:rsidRDefault="00256273" w:rsidP="00880CFA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u w:val="single"/>
              </w:rPr>
              <w:t>Pytanie 5</w:t>
            </w:r>
          </w:p>
          <w:p w:rsidR="00880CFA" w:rsidRPr="00256273" w:rsidRDefault="00880CFA" w:rsidP="00880CFA">
            <w:pPr>
              <w:autoSpaceDE w:val="0"/>
              <w:autoSpaceDN w:val="0"/>
              <w:adjustRightInd w:val="0"/>
              <w:rPr>
                <w:color w:val="666666"/>
                <w:sz w:val="18"/>
                <w:szCs w:val="18"/>
              </w:rPr>
            </w:pPr>
            <w:r w:rsidRPr="00256273">
              <w:rPr>
                <w:color w:val="666666"/>
                <w:sz w:val="18"/>
                <w:szCs w:val="18"/>
              </w:rPr>
              <w:t xml:space="preserve">Zgodnie z PFU zbiornik ma jednocześnie stanowić fundament tężni solankowej. Ze względów technologicznych proszę o dopuszczenie konstrukcji posadowionej na płycie fundamentowej ze zbiornikiem usytuowanym obok tężni. Taka technologia pozwoli zastosować osadnik z </w:t>
            </w:r>
            <w:proofErr w:type="spellStart"/>
            <w:r w:rsidRPr="00256273">
              <w:rPr>
                <w:color w:val="666666"/>
                <w:sz w:val="18"/>
                <w:szCs w:val="18"/>
              </w:rPr>
              <w:t>przekierowaniem</w:t>
            </w:r>
            <w:proofErr w:type="spellEnd"/>
            <w:r w:rsidRPr="00256273">
              <w:rPr>
                <w:color w:val="666666"/>
                <w:sz w:val="18"/>
                <w:szCs w:val="18"/>
              </w:rPr>
              <w:t xml:space="preserve"> nadmiaru roztworu na zbiornik retencyjny.</w:t>
            </w:r>
          </w:p>
        </w:tc>
      </w:tr>
      <w:tr w:rsidR="0056454A">
        <w:trPr>
          <w:trHeight w:val="388"/>
        </w:trPr>
        <w:tc>
          <w:tcPr>
            <w:tcW w:w="9056" w:type="dxa"/>
            <w:shd w:val="clear" w:color="auto" w:fill="auto"/>
          </w:tcPr>
          <w:p w:rsidR="00256273" w:rsidRDefault="00256273" w:rsidP="00256273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5</w:t>
            </w:r>
          </w:p>
          <w:p w:rsidR="0056454A" w:rsidRPr="007A2DD9" w:rsidRDefault="007A2DD9" w:rsidP="006D6BEC">
            <w:pPr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7A2DD9">
              <w:rPr>
                <w:color w:val="262626" w:themeColor="text1" w:themeTint="D9"/>
                <w:sz w:val="20"/>
                <w:szCs w:val="20"/>
              </w:rPr>
              <w:t>Zamawiajacy</w:t>
            </w:r>
            <w:proofErr w:type="spellEnd"/>
            <w:r w:rsidRPr="007A2DD9">
              <w:rPr>
                <w:color w:val="262626" w:themeColor="text1" w:themeTint="D9"/>
                <w:sz w:val="20"/>
                <w:szCs w:val="20"/>
              </w:rPr>
              <w:t xml:space="preserve"> nie dopuszcza  posadowienia </w:t>
            </w:r>
            <w:r w:rsidR="006D6BEC" w:rsidRPr="007A2DD9">
              <w:rPr>
                <w:color w:val="262626" w:themeColor="text1" w:themeTint="D9"/>
                <w:sz w:val="18"/>
                <w:szCs w:val="18"/>
              </w:rPr>
              <w:t xml:space="preserve">konstrukcji </w:t>
            </w:r>
            <w:r w:rsidRPr="007A2DD9">
              <w:rPr>
                <w:color w:val="262626" w:themeColor="text1" w:themeTint="D9"/>
                <w:sz w:val="18"/>
                <w:szCs w:val="18"/>
              </w:rPr>
              <w:t xml:space="preserve">tężni </w:t>
            </w:r>
            <w:r w:rsidR="006D6BEC" w:rsidRPr="007A2DD9">
              <w:rPr>
                <w:color w:val="262626" w:themeColor="text1" w:themeTint="D9"/>
                <w:sz w:val="18"/>
                <w:szCs w:val="18"/>
              </w:rPr>
              <w:t xml:space="preserve"> na płycie fundamentowej ze zbiornikiem obok tężni</w:t>
            </w:r>
            <w:r>
              <w:rPr>
                <w:color w:val="262626" w:themeColor="text1" w:themeTint="D9"/>
                <w:sz w:val="18"/>
                <w:szCs w:val="18"/>
              </w:rPr>
              <w:t>.</w:t>
            </w:r>
          </w:p>
          <w:p w:rsidR="006D6BEC" w:rsidRDefault="006D6BEC" w:rsidP="006D6BEC">
            <w:pPr>
              <w:rPr>
                <w:b/>
                <w:sz w:val="20"/>
                <w:szCs w:val="20"/>
                <w:u w:val="single"/>
              </w:rPr>
            </w:pPr>
          </w:p>
          <w:p w:rsidR="006D6BEC" w:rsidRDefault="006D6BEC" w:rsidP="006D6BE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767B9">
        <w:trPr>
          <w:trHeight w:val="388"/>
        </w:trPr>
        <w:tc>
          <w:tcPr>
            <w:tcW w:w="9056" w:type="dxa"/>
            <w:shd w:val="clear" w:color="auto" w:fill="auto"/>
          </w:tcPr>
          <w:p w:rsidR="008767B9" w:rsidRDefault="008767B9" w:rsidP="008767B9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</w:t>
            </w:r>
            <w:r w:rsidR="00A46985">
              <w:rPr>
                <w:b/>
                <w:sz w:val="20"/>
                <w:szCs w:val="20"/>
                <w:u w:val="single"/>
              </w:rPr>
              <w:t xml:space="preserve"> </w:t>
            </w:r>
            <w:r w:rsidR="00880CFA">
              <w:rPr>
                <w:b/>
                <w:sz w:val="20"/>
                <w:szCs w:val="20"/>
                <w:u w:val="single"/>
              </w:rPr>
              <w:t>6</w:t>
            </w:r>
          </w:p>
          <w:p w:rsidR="008767B9" w:rsidRPr="00256273" w:rsidRDefault="0056454A" w:rsidP="00256273">
            <w:pPr>
              <w:pStyle w:val="Tekstprzypisukocowego"/>
              <w:rPr>
                <w:b/>
                <w:sz w:val="18"/>
                <w:szCs w:val="18"/>
                <w:u w:val="single"/>
              </w:rPr>
            </w:pPr>
            <w:r>
              <w:t xml:space="preserve"> </w:t>
            </w:r>
            <w:r w:rsidR="00880CFA" w:rsidRPr="00256273">
              <w:rPr>
                <w:sz w:val="18"/>
                <w:szCs w:val="18"/>
              </w:rPr>
              <w:t xml:space="preserve">W ogłoszeniu treść  wskazuje na propozycję  budowy tężni solankowej z zastosowaniem technologii mokrej opartej na zbiorniku z solanką czyli roztworem wody z solą co stwarza zagrożenie dla korzystających. Uprzejmie proszę o uważne zapoznanie się z poniższym tekstem i odpowiedź na zadane pytania. Niestety z dotychczasowych doświadczeń wynika, że w większości założenia projektowe </w:t>
            </w:r>
            <w:proofErr w:type="spellStart"/>
            <w:r w:rsidR="00880CFA" w:rsidRPr="00256273">
              <w:rPr>
                <w:sz w:val="18"/>
                <w:szCs w:val="18"/>
              </w:rPr>
              <w:t>tzw</w:t>
            </w:r>
            <w:proofErr w:type="spellEnd"/>
            <w:r w:rsidR="00880CFA" w:rsidRPr="00256273">
              <w:rPr>
                <w:sz w:val="18"/>
                <w:szCs w:val="18"/>
              </w:rPr>
              <w:t xml:space="preserve"> tężni solankowych zawierają błędy krytyczne, które będą generowały problemy związane z bezpieczeństwem dla osób korzystających z obiektu a przyjęte rozwiązania techniczne nie wytworzą oczekiwanej atmosfery. Na straży tego stoją podstawowe prawa fizyki, chemii i biologii. Sól nie paruje, a środowisko wodne sprzyja rozwojowi bakterii, grzybów itp. Tężnie solankowe projektowane były jako urządzenia produkcyjne w warzelniach soli konsumpcyjnej do zatężania solanki wykorzystując, że z solanki paruje tylko woda sól nie paruje. Jeśli tężnia solankowa w zamyśle projektanta jest budowana jako inhalatorium, a nie jest wyposażone w urządzenia do wytwarzania aerozolu nie ma najmniejszych szans na spełnienie pokładanych w nich nadziei. Tężnie istnieją w świadomości społecznej jako urządzenia uzdrowiskowe. Należy pamiętać, że wiele osób będzie szukało pomocy w związku ze swoimi schorzeniami układu oddechowego. Powinny zatem emitować aerozol i  być bezpieczne. co oznacza, że w stosunku do tej budowli należy zastosować ROZPORZĄDZENIE MINISTRA ZDROWIA z dnia 2 kwietnia 2012 r. w sprawie określenia wymagań, jakim powinny odpowiadać zakłady i urządzenia lecznictwa uzdrowiskowego. </w:t>
            </w:r>
            <w:r w:rsidR="00880CFA" w:rsidRPr="00256273">
              <w:rPr>
                <w:sz w:val="18"/>
                <w:szCs w:val="18"/>
              </w:rPr>
              <w:br/>
              <w:t xml:space="preserve">§ 11. Tężnia powinna spełniać następujące wymagania: </w:t>
            </w:r>
            <w:r w:rsidR="00880CFA" w:rsidRPr="00256273">
              <w:rPr>
                <w:sz w:val="18"/>
                <w:szCs w:val="18"/>
              </w:rPr>
              <w:br/>
              <w:t xml:space="preserve">2) do wytwarzania aerozolu leczniczego w tężni powinna być wykorzystywana woda uznana za leczniczą; </w:t>
            </w:r>
            <w:r w:rsidR="00880CFA" w:rsidRPr="00256273">
              <w:rPr>
                <w:sz w:val="18"/>
                <w:szCs w:val="18"/>
              </w:rPr>
              <w:br/>
              <w:t xml:space="preserve">3)konstrukcja i rozwiązania techniczne powinny zapewniać uzyskanie aerozolu o właściwościach leczniczych, potwierdzonych wynikami badań i oceną przeprowadzonymi w trybie art. 36 ust. 1–4 ustawy z dnia 28 lipca 2005 r. o lecznictwie uzdrowiskowym, uzdrowiskach i obszarach ochrony uzdrowiskowej oraz o gminach uzdrowiskowych oraz przepisami wydanymi na podstawie art. 36 ust. 5 tej ustawy; </w:t>
            </w:r>
            <w:r w:rsidR="00880CFA" w:rsidRPr="00256273">
              <w:rPr>
                <w:sz w:val="18"/>
                <w:szCs w:val="18"/>
              </w:rPr>
              <w:br/>
              <w:t>Czyli fakt osiągnięcia tego celu jakim jest wytworzenie aerozolu powinien być poparty badaniem atmosfery przez ni</w:t>
            </w:r>
            <w:r w:rsidR="00256273">
              <w:rPr>
                <w:sz w:val="18"/>
                <w:szCs w:val="18"/>
              </w:rPr>
              <w:t xml:space="preserve">ezależną instytucję. </w:t>
            </w:r>
            <w:r w:rsidR="00880CFA" w:rsidRPr="00256273">
              <w:rPr>
                <w:sz w:val="18"/>
                <w:szCs w:val="18"/>
              </w:rPr>
              <w:t xml:space="preserve">Czy projekt powinien zawierać procedurę  pomiaru na obecność i wielkość cząsteczek aerozolu w strefie </w:t>
            </w:r>
            <w:proofErr w:type="spellStart"/>
            <w:r w:rsidR="00880CFA" w:rsidRPr="00256273">
              <w:rPr>
                <w:sz w:val="18"/>
                <w:szCs w:val="18"/>
              </w:rPr>
              <w:t>okołotężniowej</w:t>
            </w:r>
            <w:proofErr w:type="spellEnd"/>
            <w:r w:rsidR="00880CFA" w:rsidRPr="00256273">
              <w:rPr>
                <w:sz w:val="18"/>
                <w:szCs w:val="18"/>
              </w:rPr>
              <w:t>?</w:t>
            </w:r>
            <w:r w:rsidR="00880CFA" w:rsidRPr="00256273">
              <w:rPr>
                <w:sz w:val="18"/>
                <w:szCs w:val="18"/>
              </w:rPr>
              <w:br/>
            </w:r>
          </w:p>
        </w:tc>
      </w:tr>
      <w:tr w:rsidR="00A46985" w:rsidTr="006D6BEC">
        <w:trPr>
          <w:trHeight w:val="867"/>
        </w:trPr>
        <w:tc>
          <w:tcPr>
            <w:tcW w:w="9056" w:type="dxa"/>
            <w:shd w:val="clear" w:color="auto" w:fill="auto"/>
          </w:tcPr>
          <w:p w:rsidR="00A46985" w:rsidRDefault="00A46985" w:rsidP="008767B9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9308B6">
              <w:rPr>
                <w:b/>
                <w:sz w:val="20"/>
                <w:szCs w:val="20"/>
                <w:u w:val="single"/>
              </w:rPr>
              <w:t>6</w:t>
            </w:r>
          </w:p>
          <w:p w:rsidR="00A46985" w:rsidRPr="006D6BEC" w:rsidRDefault="00880CFA" w:rsidP="006D6BEC">
            <w:pPr>
              <w:pStyle w:val="Tekstprzypisukocowego"/>
            </w:pPr>
            <w:r w:rsidRPr="00576DF8">
              <w:t xml:space="preserve">Projekt nie musi zawierać pomiaru na obecność i wielkość cząsteczek aerozolu w strefie </w:t>
            </w:r>
            <w:proofErr w:type="spellStart"/>
            <w:r w:rsidRPr="00576DF8">
              <w:t>okołotężniowe</w:t>
            </w:r>
            <w:r w:rsidR="00FA1AA7">
              <w:t>j</w:t>
            </w:r>
            <w:proofErr w:type="spellEnd"/>
            <w:r w:rsidR="00FA1AA7">
              <w:t>.</w:t>
            </w:r>
          </w:p>
        </w:tc>
      </w:tr>
      <w:tr w:rsidR="00880CFA" w:rsidTr="006D6BEC">
        <w:trPr>
          <w:trHeight w:val="850"/>
        </w:trPr>
        <w:tc>
          <w:tcPr>
            <w:tcW w:w="9056" w:type="dxa"/>
            <w:shd w:val="clear" w:color="auto" w:fill="auto"/>
          </w:tcPr>
          <w:p w:rsidR="00880CFA" w:rsidRDefault="00880CFA" w:rsidP="00880CF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7</w:t>
            </w:r>
          </w:p>
          <w:p w:rsidR="00880CFA" w:rsidRPr="006D6BEC" w:rsidRDefault="00E93036" w:rsidP="006D6BEC">
            <w:pPr>
              <w:rPr>
                <w:b/>
                <w:sz w:val="18"/>
                <w:szCs w:val="18"/>
                <w:u w:val="single"/>
              </w:rPr>
            </w:pPr>
            <w:r w:rsidRPr="006D6BEC">
              <w:rPr>
                <w:sz w:val="18"/>
                <w:szCs w:val="18"/>
              </w:rPr>
              <w:t>Jaka instytucja i jaką metodą zbada mikroklimat wokół wybudowanej tężni na obecność aerozolu o właściwościach i wielkości cząstki umożliwiający dotarcie do układu oddechowego?</w:t>
            </w:r>
          </w:p>
        </w:tc>
      </w:tr>
      <w:tr w:rsidR="00E93036" w:rsidTr="006D6BEC">
        <w:trPr>
          <w:trHeight w:val="847"/>
        </w:trPr>
        <w:tc>
          <w:tcPr>
            <w:tcW w:w="9056" w:type="dxa"/>
            <w:shd w:val="clear" w:color="auto" w:fill="auto"/>
          </w:tcPr>
          <w:p w:rsidR="009308B6" w:rsidRDefault="009308B6" w:rsidP="009308B6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7</w:t>
            </w:r>
          </w:p>
          <w:p w:rsidR="00E93036" w:rsidRPr="009308B6" w:rsidRDefault="00E93036" w:rsidP="00880CF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308B6">
              <w:rPr>
                <w:sz w:val="18"/>
                <w:szCs w:val="18"/>
              </w:rPr>
              <w:t>W ramach niniejszego zamówienia,  Zamawiający nie przewiduje badania mikroklimatu wokół wybudowanej tężni</w:t>
            </w:r>
            <w:r w:rsidR="00B327CF">
              <w:rPr>
                <w:sz w:val="18"/>
                <w:szCs w:val="18"/>
              </w:rPr>
              <w:t>.</w:t>
            </w:r>
          </w:p>
        </w:tc>
      </w:tr>
      <w:tr w:rsidR="00880CFA" w:rsidTr="006D6BEC">
        <w:trPr>
          <w:trHeight w:val="70"/>
        </w:trPr>
        <w:tc>
          <w:tcPr>
            <w:tcW w:w="9056" w:type="dxa"/>
            <w:shd w:val="clear" w:color="auto" w:fill="auto"/>
          </w:tcPr>
          <w:p w:rsidR="00880CFA" w:rsidRPr="006D6BEC" w:rsidRDefault="00880CFA" w:rsidP="00880CFA">
            <w:pPr>
              <w:jc w:val="both"/>
              <w:rPr>
                <w:b/>
                <w:color w:val="262626" w:themeColor="text1" w:themeTint="D9"/>
                <w:sz w:val="20"/>
                <w:szCs w:val="20"/>
                <w:u w:val="single"/>
              </w:rPr>
            </w:pPr>
            <w:r w:rsidRPr="006D6BEC">
              <w:rPr>
                <w:b/>
                <w:color w:val="262626" w:themeColor="text1" w:themeTint="D9"/>
                <w:sz w:val="20"/>
                <w:szCs w:val="20"/>
                <w:u w:val="single"/>
              </w:rPr>
              <w:lastRenderedPageBreak/>
              <w:t>Pytanie nr 8</w:t>
            </w:r>
          </w:p>
          <w:p w:rsidR="00880CFA" w:rsidRPr="006D6BEC" w:rsidRDefault="00E93036" w:rsidP="006D6BEC">
            <w:pPr>
              <w:rPr>
                <w:b/>
                <w:sz w:val="18"/>
                <w:szCs w:val="18"/>
              </w:rPr>
            </w:pPr>
            <w:r w:rsidRPr="006D6BEC">
              <w:rPr>
                <w:sz w:val="18"/>
                <w:szCs w:val="18"/>
              </w:rPr>
              <w:t>Czy wypłata wynagrodzenia za wykonaną prace będzie uzależniona od pozytywnego wyniku badań na obecność aerozolu?</w:t>
            </w:r>
          </w:p>
        </w:tc>
      </w:tr>
      <w:tr w:rsidR="00256273" w:rsidTr="00A46985">
        <w:trPr>
          <w:trHeight w:val="1130"/>
        </w:trPr>
        <w:tc>
          <w:tcPr>
            <w:tcW w:w="9056" w:type="dxa"/>
            <w:shd w:val="clear" w:color="auto" w:fill="auto"/>
          </w:tcPr>
          <w:p w:rsidR="006D6BEC" w:rsidRDefault="006D6BEC" w:rsidP="006D6BE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8</w:t>
            </w:r>
          </w:p>
          <w:p w:rsidR="00256273" w:rsidRPr="006D6BEC" w:rsidRDefault="00256273" w:rsidP="006D6BEC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D6BEC">
              <w:rPr>
                <w:sz w:val="18"/>
                <w:szCs w:val="18"/>
              </w:rPr>
              <w:t>Wypłata wynagrodzenia za wykonane prace nie będzie uzależniona od badań na obecność aerozolu, gdyż Zamawiający nie przewiduje w ramach niniejszego zamówienia wykonanie tych badań.</w:t>
            </w:r>
          </w:p>
        </w:tc>
      </w:tr>
      <w:tr w:rsidR="00E93036" w:rsidTr="00A46985">
        <w:trPr>
          <w:trHeight w:val="1130"/>
        </w:trPr>
        <w:tc>
          <w:tcPr>
            <w:tcW w:w="9056" w:type="dxa"/>
            <w:shd w:val="clear" w:color="auto" w:fill="auto"/>
          </w:tcPr>
          <w:p w:rsidR="00657C24" w:rsidRDefault="00657C24" w:rsidP="00657C24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9</w:t>
            </w:r>
          </w:p>
          <w:p w:rsidR="00E93036" w:rsidRPr="006D6BEC" w:rsidRDefault="00657C24" w:rsidP="00657C24">
            <w:pPr>
              <w:rPr>
                <w:b/>
                <w:sz w:val="18"/>
                <w:szCs w:val="18"/>
                <w:u w:val="single"/>
              </w:rPr>
            </w:pPr>
            <w:r w:rsidRPr="006D6BEC">
              <w:rPr>
                <w:sz w:val="18"/>
                <w:szCs w:val="18"/>
              </w:rPr>
              <w:t xml:space="preserve">W założeniach projektu często znajdujemy wypełnienie tężni gałęziami tarniny lub witek brzozowych w domyśle stanowiącymi element technologii tj. rozpylania kropli wody podczas grawitacyjnego spadania po gałązkach krzewów. Niestety błąd ten jest powielany w wielu projektach. Jest to całkowicie błędne założenie projektowe. Jest dokładnie odwrotnie. Tężnie projektowano jako fabryki soli konsumpcyjnej a gałązki tarniny mają za zadanie zwiększyć powierzchnię parowania wody z solanki oraz utrudnić powstawanie aerozolu, który byłby porywany przez wiatr, co powodowałoby utratę cennej solanki i straty produkcyjne. Taka konstrukcja tworzy ścianę skutecznie broniącą przed utratą solanki. Solanka spływając po gałązkach w procesie koalescencji kropelki łączą się ze sobą, co skutecznie przeciwdziała wytwarzaniu aerozolu. Z solanki paruje tylko woda zatężając solankę do roztworu nasyconego. </w:t>
            </w:r>
            <w:r w:rsidRPr="006D6BEC">
              <w:rPr>
                <w:sz w:val="18"/>
                <w:szCs w:val="18"/>
              </w:rPr>
              <w:br/>
              <w:t xml:space="preserve">W jaki sposób będzie realnie  wytwarzany aerozol solankowy o wielkości </w:t>
            </w:r>
            <w:proofErr w:type="spellStart"/>
            <w:r w:rsidRPr="006D6BEC">
              <w:rPr>
                <w:sz w:val="18"/>
                <w:szCs w:val="18"/>
              </w:rPr>
              <w:t>respiralnej</w:t>
            </w:r>
            <w:proofErr w:type="spellEnd"/>
            <w:r w:rsidRPr="006D6BEC">
              <w:rPr>
                <w:sz w:val="18"/>
                <w:szCs w:val="18"/>
              </w:rPr>
              <w:t xml:space="preserve"> cząstek mając na uwadze fakt, że spływająca solanka  na kolumnę gałązek tarniny nie ma najmniejszych szans na wytworzenie aerozolu? Jest to prosta fizyka dotycząca napięcia powierzchniowego cieczy. </w:t>
            </w:r>
          </w:p>
        </w:tc>
      </w:tr>
      <w:tr w:rsidR="00657C24" w:rsidTr="00A46985">
        <w:trPr>
          <w:trHeight w:val="1130"/>
        </w:trPr>
        <w:tc>
          <w:tcPr>
            <w:tcW w:w="9056" w:type="dxa"/>
            <w:shd w:val="clear" w:color="auto" w:fill="auto"/>
          </w:tcPr>
          <w:p w:rsidR="006D6BEC" w:rsidRDefault="006D6BEC" w:rsidP="006D6BE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9</w:t>
            </w:r>
          </w:p>
          <w:p w:rsidR="00657C24" w:rsidRDefault="00657C24" w:rsidP="00657C24">
            <w:pPr>
              <w:jc w:val="both"/>
              <w:rPr>
                <w:sz w:val="18"/>
                <w:szCs w:val="18"/>
              </w:rPr>
            </w:pPr>
            <w:r w:rsidRPr="006D6BEC">
              <w:rPr>
                <w:sz w:val="18"/>
                <w:szCs w:val="18"/>
              </w:rPr>
              <w:t>Zamawiający wyjaśnia, że planowana do wykonania tężnia solankowa  jest obiektem przeznaczonym do naturalnego wytwarzania ,, mgły wodnej” z roztworu solanki zawierającej naturalne związki soli. W celu uzyskania zamierzonego efektu tarnina oblewana będzie wodą solankową, tłoczoną przez agregat pompowy. Spływ wody solankowej po gałązkach tarniny odbywać się będzie grawitacyjnie. Rozpylona solanka na skutek nasłonecznienia i działania wiatru tworzy unoszące się aerozole</w:t>
            </w:r>
            <w:r w:rsidR="006D6BEC">
              <w:rPr>
                <w:sz w:val="18"/>
                <w:szCs w:val="18"/>
              </w:rPr>
              <w:t>.</w:t>
            </w:r>
          </w:p>
          <w:p w:rsidR="006D6BEC" w:rsidRDefault="006D6BEC" w:rsidP="00657C24">
            <w:pPr>
              <w:jc w:val="both"/>
              <w:rPr>
                <w:sz w:val="18"/>
                <w:szCs w:val="18"/>
              </w:rPr>
            </w:pPr>
          </w:p>
          <w:p w:rsidR="006D6BEC" w:rsidRPr="006D6BEC" w:rsidRDefault="006D6BEC" w:rsidP="00657C24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E93036" w:rsidTr="00A46985">
        <w:trPr>
          <w:trHeight w:val="1130"/>
        </w:trPr>
        <w:tc>
          <w:tcPr>
            <w:tcW w:w="9056" w:type="dxa"/>
            <w:shd w:val="clear" w:color="auto" w:fill="auto"/>
          </w:tcPr>
          <w:p w:rsidR="00657C24" w:rsidRDefault="00657C24" w:rsidP="00657C24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10</w:t>
            </w:r>
          </w:p>
          <w:p w:rsidR="00E93036" w:rsidRPr="006D6BEC" w:rsidRDefault="00657C24" w:rsidP="009C42DA">
            <w:pPr>
              <w:rPr>
                <w:b/>
                <w:sz w:val="18"/>
                <w:szCs w:val="18"/>
                <w:u w:val="single"/>
              </w:rPr>
            </w:pPr>
            <w:r w:rsidRPr="006D6BEC">
              <w:rPr>
                <w:sz w:val="18"/>
                <w:szCs w:val="18"/>
              </w:rPr>
              <w:t xml:space="preserve">Wokół tężni pracujących w obiegu zamkniętym nie ma żadnej atmosfery bogatej w aerozol solny czy inne </w:t>
            </w:r>
            <w:proofErr w:type="spellStart"/>
            <w:r w:rsidRPr="006D6BEC">
              <w:rPr>
                <w:sz w:val="18"/>
                <w:szCs w:val="18"/>
              </w:rPr>
              <w:t>tzw</w:t>
            </w:r>
            <w:proofErr w:type="spellEnd"/>
            <w:r w:rsidRPr="006D6BEC">
              <w:rPr>
                <w:sz w:val="18"/>
                <w:szCs w:val="18"/>
              </w:rPr>
              <w:t xml:space="preserve"> mikroelementy. Na dowód można przytoczyć opinię wydaną przez rządową Agencja Oceny Technologii Medycznych odnośnie oddziaływania tężni solankowych. Opinia jest jednoznacznie negatywna. W uzasadnieniu czytamy, że nie ma żadnych badań ani dowodów na pozytywny wpływ na zdrowie tężni solankowych pracujących w obiegu zamkniętym solanki. </w:t>
            </w:r>
            <w:r w:rsidRPr="006D6BEC">
              <w:rPr>
                <w:sz w:val="18"/>
                <w:szCs w:val="18"/>
              </w:rPr>
              <w:br/>
              <w:t xml:space="preserve">Konstrukcja taka stwarza zagrożenie epidemiologiczne. Woda w obiegu zamkniętym tworzy doskonałe warunki do namnażania drobnoustrojów, pleśni, grzybów, bakterii itp. i nie jest przeszkodą zawartość soli, jak niektórzy głoszą, dla przykładu gronkowiec złocisty wytrzymuje solankę o stężeniu 20%. Zasolone morza tętnią życiem. Zjawisko rozwoju mikroorganizmów obserwujemy np. w fontannach gdzie krąży woda w obiegu zamkniętym. Jest wiele bakterii pleśni i grzybów, które są </w:t>
            </w:r>
            <w:proofErr w:type="spellStart"/>
            <w:r w:rsidRPr="006D6BEC">
              <w:rPr>
                <w:sz w:val="18"/>
                <w:szCs w:val="18"/>
              </w:rPr>
              <w:t>słonolubne</w:t>
            </w:r>
            <w:proofErr w:type="spellEnd"/>
            <w:r w:rsidRPr="006D6BEC">
              <w:rPr>
                <w:sz w:val="18"/>
                <w:szCs w:val="18"/>
              </w:rPr>
              <w:t xml:space="preserve">, tak jak wcześniej wymieniony  gronkowiec złocisty. Źródłem są bakterie z powietrza oraz odchody ptaków i innych zwierząt w tym  bakterie kałowe. </w:t>
            </w:r>
            <w:r w:rsidRPr="006D6BEC">
              <w:rPr>
                <w:sz w:val="18"/>
                <w:szCs w:val="18"/>
              </w:rPr>
              <w:br/>
              <w:t xml:space="preserve"> Jaki jest preferowany sposób zabezpieczenia przed namnażaniem drobnoustrojów typu grzyby, pleśnie, bakterie w gąszczu wilgotnej tarniny, tak ażeby obiekt nie stwarzał zagrożenia epidemiologicznego? </w:t>
            </w:r>
            <w:r w:rsidRPr="006D6BEC">
              <w:rPr>
                <w:sz w:val="18"/>
                <w:szCs w:val="18"/>
              </w:rPr>
              <w:br/>
            </w:r>
          </w:p>
        </w:tc>
      </w:tr>
      <w:tr w:rsidR="00657C24" w:rsidTr="00A46985">
        <w:trPr>
          <w:trHeight w:val="1130"/>
        </w:trPr>
        <w:tc>
          <w:tcPr>
            <w:tcW w:w="9056" w:type="dxa"/>
            <w:shd w:val="clear" w:color="auto" w:fill="auto"/>
          </w:tcPr>
          <w:p w:rsidR="006D6BEC" w:rsidRDefault="006D6BEC" w:rsidP="006D6BE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10</w:t>
            </w:r>
          </w:p>
          <w:p w:rsidR="00657C24" w:rsidRPr="006D6BEC" w:rsidRDefault="009C42DA" w:rsidP="00657C24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D6BEC">
              <w:rPr>
                <w:sz w:val="18"/>
                <w:szCs w:val="18"/>
              </w:rPr>
              <w:t>Zgodnie z zapisami w Programie Funkcjonalno Użytkowym  roztwór solanki będzie otrzymywany docelowo na poziomie 8 -9 % w celu zapobiegania rozwoju drobnoustrojów</w:t>
            </w:r>
          </w:p>
        </w:tc>
      </w:tr>
      <w:tr w:rsidR="009C42DA" w:rsidTr="00A46985">
        <w:trPr>
          <w:trHeight w:val="1130"/>
        </w:trPr>
        <w:tc>
          <w:tcPr>
            <w:tcW w:w="9056" w:type="dxa"/>
            <w:shd w:val="clear" w:color="auto" w:fill="auto"/>
          </w:tcPr>
          <w:p w:rsidR="009C42DA" w:rsidRPr="006D6BEC" w:rsidRDefault="009C42DA" w:rsidP="009C42D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D6BEC">
              <w:rPr>
                <w:b/>
                <w:sz w:val="18"/>
                <w:szCs w:val="18"/>
                <w:u w:val="single"/>
              </w:rPr>
              <w:t>Pytanie nr 11</w:t>
            </w:r>
          </w:p>
          <w:p w:rsidR="009C42DA" w:rsidRPr="006D6BEC" w:rsidRDefault="009C42DA" w:rsidP="009C42DA">
            <w:pPr>
              <w:rPr>
                <w:b/>
                <w:sz w:val="18"/>
                <w:szCs w:val="18"/>
              </w:rPr>
            </w:pPr>
            <w:r w:rsidRPr="006D6BEC">
              <w:rPr>
                <w:sz w:val="18"/>
                <w:szCs w:val="18"/>
              </w:rPr>
              <w:t xml:space="preserve">Narodowy Instytut Zdrowia Publicznego PZH w swojej opinii nt. zagrożeń w zamkniętym obiegu wody przestrzega przed przebywaniem w pobliżu takich obiektów. Istotnym zagrożeniem jest wdychanie skażonego powietrza z uwagi na możliwe zakażenie m.in. pałeczkami z rodzaju </w:t>
            </w:r>
            <w:proofErr w:type="spellStart"/>
            <w:r w:rsidRPr="006D6BEC">
              <w:rPr>
                <w:sz w:val="18"/>
                <w:szCs w:val="18"/>
              </w:rPr>
              <w:t>Legionella</w:t>
            </w:r>
            <w:proofErr w:type="spellEnd"/>
            <w:r w:rsidRPr="006D6BEC">
              <w:rPr>
                <w:sz w:val="18"/>
                <w:szCs w:val="18"/>
              </w:rPr>
              <w:t xml:space="preserve">, która wywołuje chorobę </w:t>
            </w:r>
            <w:proofErr w:type="spellStart"/>
            <w:r w:rsidRPr="006D6BEC">
              <w:rPr>
                <w:sz w:val="18"/>
                <w:szCs w:val="18"/>
              </w:rPr>
              <w:t>legionelozę</w:t>
            </w:r>
            <w:proofErr w:type="spellEnd"/>
            <w:r w:rsidRPr="006D6BEC">
              <w:rPr>
                <w:sz w:val="18"/>
                <w:szCs w:val="18"/>
              </w:rPr>
              <w:t xml:space="preserve">. </w:t>
            </w:r>
            <w:proofErr w:type="spellStart"/>
            <w:r w:rsidRPr="006D6BEC">
              <w:rPr>
                <w:sz w:val="18"/>
                <w:szCs w:val="18"/>
              </w:rPr>
              <w:t>Legioneloza</w:t>
            </w:r>
            <w:proofErr w:type="spellEnd"/>
            <w:r w:rsidRPr="006D6BEC">
              <w:rPr>
                <w:sz w:val="18"/>
                <w:szCs w:val="18"/>
              </w:rPr>
              <w:t xml:space="preserve"> jest określana jako wieloukładowa choroba zakaźna o zróżnicowanej symptomatologii. </w:t>
            </w:r>
            <w:r w:rsidRPr="006D6BEC">
              <w:rPr>
                <w:sz w:val="18"/>
                <w:szCs w:val="18"/>
              </w:rPr>
              <w:br/>
              <w:t xml:space="preserve">Najlepiej poznane, z uwagi na zagrożenie życia, jest zapalenie płuc. </w:t>
            </w:r>
            <w:r w:rsidRPr="006D6BEC">
              <w:rPr>
                <w:sz w:val="18"/>
                <w:szCs w:val="18"/>
              </w:rPr>
              <w:br/>
              <w:t xml:space="preserve">Inną, znaną postacią </w:t>
            </w:r>
            <w:proofErr w:type="spellStart"/>
            <w:r w:rsidRPr="006D6BEC">
              <w:rPr>
                <w:sz w:val="18"/>
                <w:szCs w:val="18"/>
              </w:rPr>
              <w:t>legionelozy</w:t>
            </w:r>
            <w:proofErr w:type="spellEnd"/>
            <w:r w:rsidRPr="006D6BEC">
              <w:rPr>
                <w:sz w:val="18"/>
                <w:szCs w:val="18"/>
              </w:rPr>
              <w:t xml:space="preserve"> jest gorączka Pontiac, którą część specjalistów uważa za alergiczną odpowiedź organizmu na infekcję pałeczkami </w:t>
            </w:r>
            <w:proofErr w:type="spellStart"/>
            <w:r w:rsidRPr="006D6BEC">
              <w:rPr>
                <w:sz w:val="18"/>
                <w:szCs w:val="18"/>
              </w:rPr>
              <w:t>Legionella</w:t>
            </w:r>
            <w:proofErr w:type="spellEnd"/>
            <w:r w:rsidRPr="006D6BEC">
              <w:rPr>
                <w:sz w:val="18"/>
                <w:szCs w:val="18"/>
              </w:rPr>
              <w:t xml:space="preserve">. Choroba zaczyna się nagle wysoką gorączką, dreszczami, bólami mięśniowymi, bólami głowy i ogólnym złym samopoczuciem. Objawom tym może towarzyszyć suchy kaszel, nieżyt nosa oraz stany zapalne spojówek. Mogą również pojawić się takie objawy o charakterze neurologicznym, jak: zawroty głowy, sztywność karku, światłowstręt czy zamroczenie. Stan ten może utrzymywać się od 2 do 5 dni, bez względu na stosowaną antybiotykoterapię. </w:t>
            </w:r>
            <w:r w:rsidRPr="006D6BEC">
              <w:rPr>
                <w:sz w:val="18"/>
                <w:szCs w:val="18"/>
              </w:rPr>
              <w:br/>
              <w:t xml:space="preserve">Skażenie powietrza w okolicy tężni solankowej może być wynikiem kolonizacji przez bakterie </w:t>
            </w:r>
            <w:proofErr w:type="spellStart"/>
            <w:r w:rsidRPr="006D6BEC">
              <w:rPr>
                <w:sz w:val="18"/>
                <w:szCs w:val="18"/>
              </w:rPr>
              <w:t>Legionella</w:t>
            </w:r>
            <w:proofErr w:type="spellEnd"/>
            <w:r w:rsidRPr="006D6BEC">
              <w:rPr>
                <w:sz w:val="18"/>
                <w:szCs w:val="18"/>
              </w:rPr>
              <w:t xml:space="preserve"> w instalacji, brak możliwości dezynfekcji zbiornika oraz gałązek i konstrukcji drewnianej tężni solankowej. Zanieczyszczenia </w:t>
            </w:r>
            <w:r w:rsidRPr="006D6BEC">
              <w:rPr>
                <w:sz w:val="18"/>
                <w:szCs w:val="18"/>
              </w:rPr>
              <w:lastRenderedPageBreak/>
              <w:t xml:space="preserve">mikrobiologiczne pochodzące od zwierząt, ptaki, psy, koty itp. przez co solanka może podlegać skażeniu </w:t>
            </w:r>
            <w:proofErr w:type="spellStart"/>
            <w:r w:rsidRPr="006D6BEC">
              <w:rPr>
                <w:sz w:val="18"/>
                <w:szCs w:val="18"/>
              </w:rPr>
              <w:t>fekalnemu</w:t>
            </w:r>
            <w:proofErr w:type="spellEnd"/>
            <w:r w:rsidRPr="006D6BEC">
              <w:rPr>
                <w:sz w:val="18"/>
                <w:szCs w:val="18"/>
              </w:rPr>
              <w:t xml:space="preserve"> mikroorganizmami obecnymi w odchodach zwierzęcych miedzy innymi: </w:t>
            </w:r>
            <w:proofErr w:type="spellStart"/>
            <w:r w:rsidRPr="006D6BEC">
              <w:rPr>
                <w:sz w:val="18"/>
                <w:szCs w:val="18"/>
              </w:rPr>
              <w:t>E.coli</w:t>
            </w:r>
            <w:proofErr w:type="spellEnd"/>
            <w:r w:rsidRPr="006D6BEC">
              <w:rPr>
                <w:sz w:val="18"/>
                <w:szCs w:val="18"/>
              </w:rPr>
              <w:t xml:space="preserve">, </w:t>
            </w:r>
            <w:proofErr w:type="spellStart"/>
            <w:r w:rsidRPr="006D6BEC">
              <w:rPr>
                <w:sz w:val="18"/>
                <w:szCs w:val="18"/>
              </w:rPr>
              <w:t>enterokoki</w:t>
            </w:r>
            <w:proofErr w:type="spellEnd"/>
            <w:r w:rsidRPr="006D6BEC">
              <w:rPr>
                <w:sz w:val="18"/>
                <w:szCs w:val="18"/>
              </w:rPr>
              <w:t xml:space="preserve"> jak również w wodzie mogą być obecne wirusy (</w:t>
            </w:r>
            <w:proofErr w:type="spellStart"/>
            <w:r w:rsidRPr="006D6BEC">
              <w:rPr>
                <w:sz w:val="18"/>
                <w:szCs w:val="18"/>
              </w:rPr>
              <w:t>enterowirusy</w:t>
            </w:r>
            <w:proofErr w:type="spellEnd"/>
            <w:r w:rsidRPr="006D6BEC">
              <w:rPr>
                <w:sz w:val="18"/>
                <w:szCs w:val="18"/>
              </w:rPr>
              <w:t xml:space="preserve">, </w:t>
            </w:r>
            <w:proofErr w:type="spellStart"/>
            <w:r w:rsidRPr="006D6BEC">
              <w:rPr>
                <w:sz w:val="18"/>
                <w:szCs w:val="18"/>
              </w:rPr>
              <w:t>norowirus</w:t>
            </w:r>
            <w:proofErr w:type="spellEnd"/>
            <w:r w:rsidRPr="006D6BEC">
              <w:rPr>
                <w:sz w:val="18"/>
                <w:szCs w:val="18"/>
              </w:rPr>
              <w:t xml:space="preserve">) oraz pierwotniaki pasożytnicze (Giardia, </w:t>
            </w:r>
            <w:proofErr w:type="spellStart"/>
            <w:r w:rsidRPr="006D6BEC">
              <w:rPr>
                <w:sz w:val="18"/>
                <w:szCs w:val="18"/>
              </w:rPr>
              <w:t>Cryptosporidium</w:t>
            </w:r>
            <w:proofErr w:type="spellEnd"/>
            <w:r w:rsidRPr="006D6BEC">
              <w:rPr>
                <w:sz w:val="18"/>
                <w:szCs w:val="18"/>
              </w:rPr>
              <w:t xml:space="preserve">). </w:t>
            </w:r>
            <w:r w:rsidRPr="006D6BEC">
              <w:rPr>
                <w:sz w:val="18"/>
                <w:szCs w:val="18"/>
              </w:rPr>
              <w:br/>
              <w:t xml:space="preserve">W ostatnim czasie można zaobserwować w projektach zastosowanie lamp UV na obiegu solanki między zbiornikiem a konstrukcją tężni solankowej. </w:t>
            </w:r>
            <w:r w:rsidRPr="006D6BEC">
              <w:rPr>
                <w:sz w:val="18"/>
                <w:szCs w:val="18"/>
              </w:rPr>
              <w:br/>
              <w:t xml:space="preserve">W zamyśle projektantów ma to wykluczyć możliwość namnażania groźnych drobnoustrojów. Założenia są błędne, ponieważ w żaden sposób nie zabezpiecza to możliwości rozwoju bakterii na ścianach zbiornika, instalacji oraz na gałązkach tarniny i drewnianej konstrukcji tężni solankowej. Dodatkowo unieszkodliwione drobnoustroje pozostające w obiegu stanowią pożywkę dla tych rozwijających się na konstrukcji tężni solankowej. Sytuacja ta jest znana od czasów gdy wykorzystywano tężnie w procesie produkcji soli konsumpcyjnej w </w:t>
            </w:r>
            <w:proofErr w:type="spellStart"/>
            <w:r w:rsidRPr="006D6BEC">
              <w:rPr>
                <w:sz w:val="18"/>
                <w:szCs w:val="18"/>
              </w:rPr>
              <w:t>XIXw</w:t>
            </w:r>
            <w:proofErr w:type="spellEnd"/>
            <w:r w:rsidRPr="006D6BEC">
              <w:rPr>
                <w:sz w:val="18"/>
                <w:szCs w:val="18"/>
              </w:rPr>
              <w:t>. Zainfekowaną konstrukcję trzeba wówczas wymienić, co stwierdził wieloletni konserwator tężni w Ciechocinku w odpowiedzi na zadane mu pytanie. Jakie przewidziane są rozwiązania zabezpieczenia solanki przed namnażaniem groźnych drobnoustrojów w sieci do transportu wody solankowej, w zbiorniku, drewnianej konstrukcji tężni ?</w:t>
            </w:r>
          </w:p>
          <w:p w:rsidR="009C42DA" w:rsidRPr="006D6BEC" w:rsidRDefault="009C42DA" w:rsidP="00657C24">
            <w:pPr>
              <w:jc w:val="both"/>
              <w:rPr>
                <w:sz w:val="18"/>
                <w:szCs w:val="18"/>
              </w:rPr>
            </w:pPr>
          </w:p>
        </w:tc>
      </w:tr>
      <w:tr w:rsidR="009C42DA" w:rsidTr="00A46985">
        <w:trPr>
          <w:trHeight w:val="1130"/>
        </w:trPr>
        <w:tc>
          <w:tcPr>
            <w:tcW w:w="9056" w:type="dxa"/>
            <w:shd w:val="clear" w:color="auto" w:fill="auto"/>
          </w:tcPr>
          <w:p w:rsidR="006D6BEC" w:rsidRDefault="006D6BEC" w:rsidP="006D6BE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Odpowiedź nr 11</w:t>
            </w:r>
          </w:p>
          <w:p w:rsidR="009C42DA" w:rsidRPr="006D6BEC" w:rsidRDefault="009C42DA" w:rsidP="009C42DA">
            <w:pPr>
              <w:rPr>
                <w:b/>
                <w:sz w:val="18"/>
                <w:szCs w:val="18"/>
              </w:rPr>
            </w:pPr>
            <w:r w:rsidRPr="006D6BEC">
              <w:rPr>
                <w:sz w:val="18"/>
                <w:szCs w:val="18"/>
              </w:rPr>
              <w:t xml:space="preserve">Zgodnie z zapisami w Programie Funkcjonalno Użytkowym  roztwór solanki będzie otrzymywany docelowo na poziomie 8 -9 % w celu zapobiegania rozwoju drobnoustrojów.  </w:t>
            </w:r>
          </w:p>
          <w:p w:rsidR="009C42DA" w:rsidRPr="006D6BEC" w:rsidRDefault="009C42DA" w:rsidP="009C42D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9C42DA" w:rsidTr="00A46985">
        <w:trPr>
          <w:trHeight w:val="1130"/>
        </w:trPr>
        <w:tc>
          <w:tcPr>
            <w:tcW w:w="9056" w:type="dxa"/>
            <w:shd w:val="clear" w:color="auto" w:fill="auto"/>
          </w:tcPr>
          <w:p w:rsidR="00647660" w:rsidRPr="006D6BEC" w:rsidRDefault="00647660" w:rsidP="0064766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D6BEC">
              <w:rPr>
                <w:b/>
                <w:sz w:val="18"/>
                <w:szCs w:val="18"/>
                <w:u w:val="single"/>
              </w:rPr>
              <w:t>Pytanie nr 12</w:t>
            </w:r>
          </w:p>
          <w:p w:rsidR="009C42DA" w:rsidRPr="006D6BEC" w:rsidRDefault="009C42DA" w:rsidP="009C42DA">
            <w:pPr>
              <w:rPr>
                <w:b/>
                <w:sz w:val="18"/>
                <w:szCs w:val="18"/>
              </w:rPr>
            </w:pPr>
            <w:r w:rsidRPr="006D6BEC">
              <w:rPr>
                <w:sz w:val="18"/>
                <w:szCs w:val="18"/>
              </w:rPr>
              <w:t xml:space="preserve">Zamawiający nie dopuszcza zmiany technologii solankowej (tężnia solankowa) na suchy aerozol solny (tężnia solna).Trzeba jednoznacznie stwierdzić, że tężnie nie wytwarzają prozdrowotnej atmosfery. Należy traktować je jako atrakcję turystyczną zlokalizowaną w miejscowościach turystyczno-uzdrowiskowych. Na marginesie, tężnie są dla samorządów w obecnych czasach z różnych względów kłopotliwym dziedzictwem techniki. Jest to jednak niezwykły obiekt i zasługuje na miano pomnika historii. W Ciechocinku tężnia ma wysokość 16m i długość niemal 2km, ale co warto podkreślić, że mimo to, nie ma statusu urządzenia medycznego i żadna tężnia solankowa w Polsce nie jest traktowana przez lekarzy jako element terapii inhalacjami. </w:t>
            </w:r>
            <w:r w:rsidRPr="006D6BEC">
              <w:rPr>
                <w:sz w:val="18"/>
                <w:szCs w:val="18"/>
              </w:rPr>
              <w:br/>
              <w:t xml:space="preserve">Wszelkie tzw. „zalety” tężni związane z obecnością wielu mikroelementów w strefie </w:t>
            </w:r>
            <w:proofErr w:type="spellStart"/>
            <w:r w:rsidRPr="006D6BEC">
              <w:rPr>
                <w:sz w:val="18"/>
                <w:szCs w:val="18"/>
              </w:rPr>
              <w:t>okołotężniowej</w:t>
            </w:r>
            <w:proofErr w:type="spellEnd"/>
            <w:r w:rsidRPr="006D6BEC">
              <w:rPr>
                <w:sz w:val="18"/>
                <w:szCs w:val="18"/>
              </w:rPr>
              <w:t xml:space="preserve"> należy traktować jako teksty marketingowe. Jest to na tyle oczywiste, że nie ma żadnych wiarygodnych badań potwierdzających obecność tych cudownych substancji w otwartej przestrzeni wokół tężni. </w:t>
            </w:r>
            <w:r w:rsidRPr="006D6BEC">
              <w:rPr>
                <w:sz w:val="18"/>
                <w:szCs w:val="18"/>
              </w:rPr>
              <w:br/>
              <w:t xml:space="preserve">Rozwiązaniem jest modernizacja projektu w kierunku tężni solnej, gdzie zastosowano innowacyjną metodę wytwarzania suchego aerozolu solnego w zmiennych warunkach atmosferycznych. Skuteczność inhalacji suchym aerozolem solnym w stosunku do wszystkich schorzeń układu oddechowego potwierdzona jest badaniami klinicznymi w licznych ośrodkach na całym świecie. </w:t>
            </w:r>
            <w:r w:rsidRPr="006D6BEC">
              <w:rPr>
                <w:sz w:val="18"/>
                <w:szCs w:val="18"/>
              </w:rPr>
              <w:br/>
              <w:t>Czy inwestor dopuszcza zmianę technologii solankowej (tężnia solankowa) na suchy aerozol solny (tężnia solna)?</w:t>
            </w:r>
          </w:p>
          <w:p w:rsidR="009C42DA" w:rsidRPr="006D6BEC" w:rsidRDefault="009C42DA" w:rsidP="009C42DA">
            <w:pPr>
              <w:rPr>
                <w:b/>
                <w:sz w:val="18"/>
                <w:szCs w:val="18"/>
              </w:rPr>
            </w:pPr>
            <w:r w:rsidRPr="006D6BEC">
              <w:rPr>
                <w:sz w:val="18"/>
                <w:szCs w:val="18"/>
              </w:rPr>
              <w:t xml:space="preserve">Niezwykle duża skuteczność oparta jest na prostym mechanizmie poprzez oddziaływanie bezpośrednio na błonę śluzową dróg oddechowych. Mikrocząsteczki o wielkości 1-5µm docierają do najgłębszych partii drzewa oskrzelowego gdzie w procesie </w:t>
            </w:r>
            <w:proofErr w:type="spellStart"/>
            <w:r w:rsidRPr="006D6BEC">
              <w:rPr>
                <w:sz w:val="18"/>
                <w:szCs w:val="18"/>
              </w:rPr>
              <w:t>sekretolizy</w:t>
            </w:r>
            <w:proofErr w:type="spellEnd"/>
            <w:r w:rsidRPr="006D6BEC">
              <w:rPr>
                <w:sz w:val="18"/>
                <w:szCs w:val="18"/>
              </w:rPr>
              <w:t xml:space="preserve"> rozrzedzają śluz oraz wspomagają proces fagocytozy niwelując stan zapalny. </w:t>
            </w:r>
            <w:r w:rsidRPr="006D6BEC">
              <w:rPr>
                <w:sz w:val="18"/>
                <w:szCs w:val="18"/>
              </w:rPr>
              <w:br/>
              <w:t>Tężnia solna nie wymaga wody, suchy aerozol wytwarzany jest z soli warzonej przez urządzenie medyczne z certyfikatem jednostki notyfikowanej przez Ministerstwo Zdrowia. Koszt zużywanej soli to jedynie 15zł/miesiąc, co w porównaniu do okresowej wymiany kilku tysięcy litrów solanki, jest kosztem pomijalnym.</w:t>
            </w:r>
          </w:p>
          <w:p w:rsidR="009C42DA" w:rsidRPr="006D6BEC" w:rsidRDefault="009C42DA" w:rsidP="009C42D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6D6BEC" w:rsidTr="006D6BEC">
        <w:trPr>
          <w:trHeight w:val="941"/>
        </w:trPr>
        <w:tc>
          <w:tcPr>
            <w:tcW w:w="9056" w:type="dxa"/>
            <w:shd w:val="clear" w:color="auto" w:fill="auto"/>
          </w:tcPr>
          <w:p w:rsidR="006D6BEC" w:rsidRDefault="006D6BEC" w:rsidP="006D6BE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12</w:t>
            </w:r>
          </w:p>
          <w:p w:rsidR="006D6BEC" w:rsidRPr="006D6BEC" w:rsidRDefault="006D6BEC" w:rsidP="009C42DA">
            <w:pPr>
              <w:rPr>
                <w:b/>
                <w:sz w:val="18"/>
                <w:szCs w:val="18"/>
                <w:u w:val="single"/>
              </w:rPr>
            </w:pPr>
            <w:r w:rsidRPr="006D6BEC">
              <w:rPr>
                <w:sz w:val="18"/>
                <w:szCs w:val="18"/>
              </w:rPr>
              <w:t>Zamawiający nie dopuszcza zmiany technologii solankowej (tężnia solankowa) na suchy aerozol solny (tężnia solna).</w:t>
            </w:r>
          </w:p>
        </w:tc>
      </w:tr>
    </w:tbl>
    <w:p w:rsidR="00A142EA" w:rsidRDefault="00A142EA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:rsidR="00A142EA" w:rsidRDefault="00152B89">
      <w:pPr>
        <w:jc w:val="both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  <w:r w:rsidR="00D07172" w:rsidRPr="00D07172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</w:p>
    <w:p w:rsidR="004A15EB" w:rsidRPr="00D825EB" w:rsidRDefault="004A15EB" w:rsidP="004A15EB">
      <w:pPr>
        <w:pStyle w:val="Tekstpodstawowy"/>
        <w:suppressAutoHyphens/>
        <w:spacing w:line="360" w:lineRule="auto"/>
        <w:jc w:val="right"/>
      </w:pPr>
    </w:p>
    <w:p w:rsidR="00FA1AA7" w:rsidRPr="007F349E" w:rsidRDefault="00FA1AA7" w:rsidP="00FA1AA7">
      <w:pPr>
        <w:pStyle w:val="Default"/>
        <w:jc w:val="right"/>
        <w:rPr>
          <w:color w:val="FF0000"/>
          <w:sz w:val="22"/>
          <w:szCs w:val="22"/>
        </w:rPr>
      </w:pPr>
      <w:r w:rsidRPr="007F349E">
        <w:rPr>
          <w:color w:val="FF0000"/>
          <w:sz w:val="22"/>
          <w:szCs w:val="22"/>
        </w:rPr>
        <w:t xml:space="preserve">BURMISTRZ MIASTA </w:t>
      </w:r>
    </w:p>
    <w:p w:rsidR="00FA1AA7" w:rsidRDefault="00FA1AA7" w:rsidP="00FA1AA7">
      <w:pPr>
        <w:pStyle w:val="Tekstpodstawowy"/>
        <w:suppressAutoHyphens/>
        <w:spacing w:after="0" w:line="360" w:lineRule="auto"/>
        <w:jc w:val="right"/>
        <w:rPr>
          <w:rFonts w:ascii="Arial" w:hAnsi="Arial" w:cs="Arial"/>
        </w:rPr>
      </w:pPr>
      <w:r>
        <w:rPr>
          <w:i/>
          <w:iCs/>
          <w:color w:val="FF0000"/>
        </w:rPr>
        <w:t xml:space="preserve">                 </w:t>
      </w:r>
      <w:r w:rsidRPr="007F349E">
        <w:rPr>
          <w:i/>
          <w:iCs/>
          <w:color w:val="FF0000"/>
        </w:rPr>
        <w:t>Jarosław Borowski</w:t>
      </w:r>
    </w:p>
    <w:p w:rsidR="004A15EB" w:rsidRDefault="004A15EB">
      <w:pPr>
        <w:jc w:val="both"/>
        <w:rPr>
          <w:rFonts w:asciiTheme="minorHAnsi" w:hAnsiTheme="minorHAnsi" w:cstheme="minorHAnsi"/>
          <w:color w:val="666666"/>
          <w:sz w:val="20"/>
          <w:szCs w:val="20"/>
        </w:rPr>
      </w:pPr>
    </w:p>
    <w:sectPr w:rsidR="004A15EB" w:rsidSect="001A5F5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CF" w:rsidRDefault="00B327CF">
      <w:r>
        <w:separator/>
      </w:r>
    </w:p>
  </w:endnote>
  <w:endnote w:type="continuationSeparator" w:id="0">
    <w:p w:rsidR="00B327CF" w:rsidRDefault="00B3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CF" w:rsidRDefault="00B327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73BC">
      <w:rPr>
        <w:noProof/>
        <w:color w:val="000000"/>
      </w:rPr>
      <w:t>2</w:t>
    </w:r>
    <w:r>
      <w:rPr>
        <w:color w:val="000000"/>
      </w:rPr>
      <w:fldChar w:fldCharType="end"/>
    </w:r>
  </w:p>
  <w:p w:rsidR="00B327CF" w:rsidRDefault="00B327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CF" w:rsidRDefault="00B327CF">
      <w:r>
        <w:separator/>
      </w:r>
    </w:p>
  </w:footnote>
  <w:footnote w:type="continuationSeparator" w:id="0">
    <w:p w:rsidR="00B327CF" w:rsidRDefault="00B3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CF" w:rsidRDefault="00B327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</w:t>
    </w:r>
  </w:p>
  <w:p w:rsidR="00B327CF" w:rsidRDefault="00B327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142EA"/>
    <w:rsid w:val="00075FA6"/>
    <w:rsid w:val="000D1E21"/>
    <w:rsid w:val="0010091A"/>
    <w:rsid w:val="00152B89"/>
    <w:rsid w:val="001A5F53"/>
    <w:rsid w:val="001C660D"/>
    <w:rsid w:val="001D15A7"/>
    <w:rsid w:val="001D40E3"/>
    <w:rsid w:val="00200CB5"/>
    <w:rsid w:val="00256273"/>
    <w:rsid w:val="0027274F"/>
    <w:rsid w:val="0032312E"/>
    <w:rsid w:val="003537E8"/>
    <w:rsid w:val="00360BCF"/>
    <w:rsid w:val="00395BB2"/>
    <w:rsid w:val="003F3223"/>
    <w:rsid w:val="004A15EB"/>
    <w:rsid w:val="004B3223"/>
    <w:rsid w:val="00505336"/>
    <w:rsid w:val="005504D0"/>
    <w:rsid w:val="0056454A"/>
    <w:rsid w:val="00565358"/>
    <w:rsid w:val="00593E3D"/>
    <w:rsid w:val="005B57EA"/>
    <w:rsid w:val="00647660"/>
    <w:rsid w:val="00652D4E"/>
    <w:rsid w:val="00657C24"/>
    <w:rsid w:val="0067552B"/>
    <w:rsid w:val="006A79A3"/>
    <w:rsid w:val="006D6BEC"/>
    <w:rsid w:val="00701207"/>
    <w:rsid w:val="00720E6D"/>
    <w:rsid w:val="007A2DD9"/>
    <w:rsid w:val="00852415"/>
    <w:rsid w:val="008767B9"/>
    <w:rsid w:val="00880CFA"/>
    <w:rsid w:val="008E22B0"/>
    <w:rsid w:val="009070A8"/>
    <w:rsid w:val="009308B6"/>
    <w:rsid w:val="009C42DA"/>
    <w:rsid w:val="009F1577"/>
    <w:rsid w:val="009F2793"/>
    <w:rsid w:val="00A0067A"/>
    <w:rsid w:val="00A142EA"/>
    <w:rsid w:val="00A46985"/>
    <w:rsid w:val="00B30DBC"/>
    <w:rsid w:val="00B327CF"/>
    <w:rsid w:val="00B32BDF"/>
    <w:rsid w:val="00B33665"/>
    <w:rsid w:val="00B34FA1"/>
    <w:rsid w:val="00B676FD"/>
    <w:rsid w:val="00BC1273"/>
    <w:rsid w:val="00BC3ACC"/>
    <w:rsid w:val="00BF717A"/>
    <w:rsid w:val="00C21DF4"/>
    <w:rsid w:val="00CD6966"/>
    <w:rsid w:val="00D07172"/>
    <w:rsid w:val="00D545E4"/>
    <w:rsid w:val="00E93036"/>
    <w:rsid w:val="00EF73BC"/>
    <w:rsid w:val="00F9449B"/>
    <w:rsid w:val="00FA1AA7"/>
    <w:rsid w:val="00F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F53"/>
  </w:style>
  <w:style w:type="paragraph" w:styleId="Nagwek1">
    <w:name w:val="heading 1"/>
    <w:basedOn w:val="Normalny"/>
    <w:next w:val="Normalny"/>
    <w:uiPriority w:val="9"/>
    <w:qFormat/>
    <w:rsid w:val="001A5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A5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A5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A5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A5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A5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A5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A5F53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10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4C"/>
  </w:style>
  <w:style w:type="paragraph" w:styleId="Stopka">
    <w:name w:val="footer"/>
    <w:basedOn w:val="Normalny"/>
    <w:link w:val="StopkaZnak"/>
    <w:uiPriority w:val="99"/>
    <w:unhideWhenUsed/>
    <w:rsid w:val="00597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4C"/>
  </w:style>
  <w:style w:type="paragraph" w:styleId="Akapitzlist">
    <w:name w:val="List Paragraph"/>
    <w:basedOn w:val="Normalny"/>
    <w:uiPriority w:val="34"/>
    <w:qFormat/>
    <w:rsid w:val="00AF0CC3"/>
    <w:pPr>
      <w:ind w:left="720"/>
      <w:contextualSpacing/>
    </w:pPr>
  </w:style>
  <w:style w:type="paragraph" w:styleId="Bezodstpw">
    <w:name w:val="No Spacing"/>
    <w:qFormat/>
    <w:rsid w:val="00797F0C"/>
    <w:pPr>
      <w:suppressAutoHyphens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1340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uiPriority w:val="11"/>
    <w:qFormat/>
    <w:rsid w:val="001A5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5F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E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2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C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767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767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7B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A15EB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15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/mQGrwurR4LFJuSOUXpJuTmIg==">AMUW2mUAjTODRn/fTGOnP9ynH5WYIN71tqUduHKQwx65gDfFHFYezt46u1ojnAleRCE4/Hz+Qu2m6QBRwwX5tzZgooOe7VltA9s9d+oLap+ehhSGFTVxpjjX3Ttv2VgPnY5Hv5x+aZTn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F7D48C-B8F8-48DE-B86D-2BF42DD5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2253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h_szatylowicz</cp:lastModifiedBy>
  <cp:revision>11</cp:revision>
  <cp:lastPrinted>2022-09-05T06:57:00Z</cp:lastPrinted>
  <dcterms:created xsi:type="dcterms:W3CDTF">2022-08-05T08:09:00Z</dcterms:created>
  <dcterms:modified xsi:type="dcterms:W3CDTF">2022-09-05T07:17:00Z</dcterms:modified>
</cp:coreProperties>
</file>