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Załącznik nr 2 do SWZ</w:t>
      </w:r>
      <w:r>
        <w:fldChar w:fldCharType="begin"/>
      </w:r>
      <w:r>
        <w:rPr>
          <w:sz w:val="22"/>
          <w:b/>
          <w:szCs w:val="22"/>
          <w:rFonts w:cs="Times New Roman" w:ascii="Times New Roman" w:hAnsi="Times New Roman"/>
        </w:rPr>
        <w:instrText xml:space="preserve"> TC "Załącznik nr 2 do SIWZ" \l 9 </w:instrText>
      </w:r>
      <w:r>
        <w:rPr>
          <w:sz w:val="22"/>
          <w:b/>
          <w:szCs w:val="22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2"/>
          <w:szCs w:val="22"/>
        </w:rPr>
      </w:r>
      <w:r>
        <w:rPr>
          <w:sz w:val="22"/>
          <w:b/>
          <w:szCs w:val="22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2"/>
          <w:sz w:val="24"/>
          <w:szCs w:val="24"/>
          <w:lang w:val="pl-PL" w:eastAsia="zh-CN" w:bidi="hi-IN"/>
        </w:rPr>
        <w:t>Przygotowani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0"/>
          <w:sz w:val="24"/>
          <w:szCs w:val="24"/>
          <w:lang w:val="pl-PL" w:eastAsia="en-US" w:bidi="ar-SA"/>
        </w:rPr>
        <w:t>e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2"/>
          <w:sz w:val="24"/>
          <w:szCs w:val="24"/>
          <w:lang w:val="pl-PL" w:eastAsia="zh-CN" w:bidi="hi-IN"/>
        </w:rPr>
        <w:t xml:space="preserve"> i dowożeni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0"/>
          <w:sz w:val="24"/>
          <w:szCs w:val="24"/>
          <w:lang w:val="pl-PL" w:eastAsia="en-US" w:bidi="ar-SA"/>
        </w:rPr>
        <w:t xml:space="preserve">e 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2"/>
          <w:sz w:val="24"/>
          <w:szCs w:val="24"/>
          <w:lang w:val="pl-PL" w:eastAsia="zh-CN" w:bidi="hi-IN"/>
        </w:rPr>
        <w:t>posiłków do Przedszkola Zespołu Szkolno – Przedszkolnego w Redzikowie w roku szkolnym 2023/2024 - z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27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.2023.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www.gminaslupsk.pl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</TotalTime>
  <Application>LibreOffice/7.5.1.2$Windows_X86_64 LibreOffice_project/fcbaee479e84c6cd81291587d2ee68cba099e129</Application>
  <AppVersion>15.0000</AppVersion>
  <Pages>2</Pages>
  <Words>299</Words>
  <Characters>2414</Characters>
  <CharactersWithSpaces>2690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2023-07-10T11:03:21Z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