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6A" w:rsidRDefault="00B61A88" w:rsidP="00F15BAE">
      <w:pPr>
        <w:suppressAutoHyphens/>
        <w:autoSpaceDN w:val="0"/>
        <w:spacing w:line="244" w:lineRule="auto"/>
        <w:jc w:val="right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val="en-US"/>
        </w:rPr>
        <w:t>Załącznik n</w:t>
      </w:r>
      <w:bookmarkStart w:id="0" w:name="_GoBack"/>
      <w:bookmarkEnd w:id="0"/>
      <w:r>
        <w:rPr>
          <w:rFonts w:ascii="Tahoma" w:eastAsia="Times New Roman" w:hAnsi="Tahoma" w:cs="Tahoma"/>
          <w:b/>
          <w:kern w:val="3"/>
          <w:sz w:val="20"/>
          <w:szCs w:val="20"/>
          <w:lang w:val="en-US"/>
        </w:rPr>
        <w:t xml:space="preserve">r 1 - </w:t>
      </w:r>
      <w:r w:rsidR="0031276A">
        <w:rPr>
          <w:rFonts w:ascii="Tahoma" w:eastAsia="Times New Roman" w:hAnsi="Tahoma" w:cs="Tahoma"/>
          <w:b/>
          <w:kern w:val="3"/>
          <w:sz w:val="20"/>
          <w:szCs w:val="20"/>
          <w:lang w:val="en-US"/>
        </w:rPr>
        <w:t>CZĘŚĆ 1</w:t>
      </w:r>
    </w:p>
    <w:p w:rsidR="00F15BAE" w:rsidRDefault="00C21AAF" w:rsidP="0031276A">
      <w:pPr>
        <w:suppressAutoHyphens/>
        <w:autoSpaceDN w:val="0"/>
        <w:spacing w:line="244" w:lineRule="auto"/>
        <w:jc w:val="right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</w:rPr>
      </w:pPr>
      <w:proofErr w:type="spellStart"/>
      <w:r w:rsidRPr="00C21AAF">
        <w:rPr>
          <w:rFonts w:ascii="Tahoma" w:eastAsia="Times New Roman" w:hAnsi="Tahoma" w:cs="Tahoma"/>
          <w:b/>
          <w:kern w:val="3"/>
          <w:sz w:val="20"/>
          <w:szCs w:val="20"/>
          <w:lang w:val="en-US"/>
        </w:rPr>
        <w:t>Formularz</w:t>
      </w:r>
      <w:proofErr w:type="spellEnd"/>
      <w:r w:rsidRPr="00C21AAF">
        <w:rPr>
          <w:rFonts w:ascii="Tahoma" w:eastAsia="Times New Roman" w:hAnsi="Tahoma" w:cs="Tahoma"/>
          <w:b/>
          <w:kern w:val="3"/>
          <w:sz w:val="20"/>
          <w:szCs w:val="20"/>
          <w:lang w:val="en-US"/>
        </w:rPr>
        <w:t xml:space="preserve"> </w:t>
      </w:r>
      <w:proofErr w:type="spellStart"/>
      <w:r w:rsidRPr="00C21AAF">
        <w:rPr>
          <w:rFonts w:ascii="Tahoma" w:eastAsia="Times New Roman" w:hAnsi="Tahoma" w:cs="Tahoma"/>
          <w:b/>
          <w:kern w:val="3"/>
          <w:sz w:val="20"/>
          <w:szCs w:val="20"/>
          <w:lang w:val="en-US"/>
        </w:rPr>
        <w:t>asortymentowo</w:t>
      </w:r>
      <w:proofErr w:type="spellEnd"/>
      <w:r w:rsidRPr="00C21AAF">
        <w:rPr>
          <w:rFonts w:ascii="Tahoma" w:eastAsia="Times New Roman" w:hAnsi="Tahoma" w:cs="Tahoma"/>
          <w:b/>
          <w:kern w:val="3"/>
          <w:sz w:val="20"/>
          <w:szCs w:val="20"/>
          <w:lang w:val="en-US"/>
        </w:rPr>
        <w:t xml:space="preserve"> – </w:t>
      </w:r>
      <w:proofErr w:type="spellStart"/>
      <w:r w:rsidRPr="00C21AAF">
        <w:rPr>
          <w:rFonts w:ascii="Tahoma" w:eastAsia="Times New Roman" w:hAnsi="Tahoma" w:cs="Tahoma"/>
          <w:b/>
          <w:kern w:val="3"/>
          <w:sz w:val="20"/>
          <w:szCs w:val="20"/>
          <w:lang w:val="en-US"/>
        </w:rPr>
        <w:t>cenowy</w:t>
      </w:r>
      <w:proofErr w:type="spellEnd"/>
      <w:r w:rsidR="00F15BAE">
        <w:rPr>
          <w:rFonts w:ascii="Tahoma" w:eastAsia="SimSun" w:hAnsi="Tahoma" w:cs="Tahoma"/>
          <w:b/>
          <w:bCs/>
          <w:kern w:val="3"/>
          <w:sz w:val="20"/>
          <w:szCs w:val="20"/>
        </w:rPr>
        <w:t xml:space="preserve"> </w:t>
      </w:r>
      <w:r w:rsidR="0031276A">
        <w:rPr>
          <w:rFonts w:ascii="Tahoma" w:eastAsia="SimSun" w:hAnsi="Tahoma" w:cs="Tahoma"/>
          <w:b/>
          <w:bCs/>
          <w:kern w:val="3"/>
          <w:sz w:val="20"/>
          <w:szCs w:val="20"/>
        </w:rPr>
        <w:t xml:space="preserve">znak </w:t>
      </w:r>
      <w:r w:rsidR="0031276A" w:rsidRPr="0031276A">
        <w:rPr>
          <w:rFonts w:ascii="Tahoma" w:eastAsia="SimSun" w:hAnsi="Tahoma" w:cs="Tahoma"/>
          <w:b/>
          <w:bCs/>
          <w:kern w:val="3"/>
          <w:sz w:val="20"/>
          <w:szCs w:val="20"/>
        </w:rPr>
        <w:t>NT/Nr 05/PN/19</w:t>
      </w:r>
    </w:p>
    <w:p w:rsidR="00C21AAF" w:rsidRPr="00C21AAF" w:rsidRDefault="00C21AAF" w:rsidP="00F15BAE">
      <w:pPr>
        <w:suppressAutoHyphens/>
        <w:autoSpaceDN w:val="0"/>
        <w:spacing w:line="244" w:lineRule="auto"/>
        <w:jc w:val="center"/>
        <w:textAlignment w:val="baseline"/>
        <w:rPr>
          <w:rFonts w:ascii="Calibri" w:eastAsia="SimSun" w:hAnsi="Calibri" w:cs="Tahoma"/>
          <w:kern w:val="3"/>
        </w:rPr>
      </w:pPr>
      <w:r w:rsidRPr="00C21AAF">
        <w:rPr>
          <w:rFonts w:ascii="Tahoma" w:eastAsia="SimSun" w:hAnsi="Tahoma" w:cs="Tahoma"/>
          <w:b/>
          <w:bCs/>
          <w:kern w:val="3"/>
          <w:sz w:val="20"/>
          <w:szCs w:val="20"/>
        </w:rPr>
        <w:t>Ciśnieniomierze, akcesoria</w:t>
      </w:r>
      <w:r w:rsidR="0031276A">
        <w:rPr>
          <w:rFonts w:ascii="Tahoma" w:eastAsia="SimSun" w:hAnsi="Tahoma" w:cs="Tahoma"/>
          <w:b/>
          <w:bCs/>
          <w:kern w:val="3"/>
          <w:sz w:val="20"/>
          <w:szCs w:val="20"/>
        </w:rPr>
        <w:t xml:space="preserve"> </w:t>
      </w:r>
    </w:p>
    <w:p w:rsidR="00C21AAF" w:rsidRPr="00C21AAF" w:rsidRDefault="00C21AAF" w:rsidP="00C21AAF">
      <w:pPr>
        <w:suppressAutoHyphens/>
        <w:autoSpaceDN w:val="0"/>
        <w:spacing w:line="244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4748"/>
        <w:gridCol w:w="1333"/>
        <w:gridCol w:w="1498"/>
        <w:gridCol w:w="851"/>
        <w:gridCol w:w="1419"/>
        <w:gridCol w:w="1277"/>
        <w:gridCol w:w="896"/>
        <w:gridCol w:w="1335"/>
      </w:tblGrid>
      <w:tr w:rsidR="00F15BAE" w:rsidRPr="00C21AAF" w:rsidTr="00F15BAE"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</w:pPr>
            <w:r w:rsidRPr="00C21AAF"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  <w:t>Lp.</w:t>
            </w:r>
          </w:p>
        </w:tc>
        <w:tc>
          <w:tcPr>
            <w:tcW w:w="1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3"/>
                <w:sz w:val="16"/>
                <w:szCs w:val="16"/>
                <w:lang w:eastAsia="pl-PL"/>
              </w:rPr>
            </w:pPr>
            <w:r w:rsidRPr="00C21AAF">
              <w:rPr>
                <w:rFonts w:ascii="Tahoma" w:eastAsia="Times New Roman" w:hAnsi="Tahoma" w:cs="Tahoma"/>
                <w:b/>
                <w:kern w:val="3"/>
                <w:sz w:val="16"/>
                <w:szCs w:val="16"/>
                <w:lang w:eastAsia="pl-PL"/>
              </w:rPr>
              <w:t>Opis asortymentu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834DD">
            <w:pPr>
              <w:suppressLineNumbers/>
              <w:suppressAutoHyphens/>
              <w:autoSpaceDN w:val="0"/>
              <w:spacing w:after="0" w:line="245" w:lineRule="auto"/>
              <w:jc w:val="center"/>
              <w:textAlignment w:val="baseline"/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</w:pPr>
            <w:r w:rsidRPr="00C21AAF"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  <w:t>Jednostka</w:t>
            </w:r>
          </w:p>
          <w:p w:rsidR="00F15BAE" w:rsidRPr="00C21AAF" w:rsidRDefault="00F15BAE" w:rsidP="00C834DD">
            <w:pPr>
              <w:suppressLineNumbers/>
              <w:suppressAutoHyphens/>
              <w:autoSpaceDN w:val="0"/>
              <w:spacing w:after="0" w:line="245" w:lineRule="auto"/>
              <w:jc w:val="center"/>
              <w:textAlignment w:val="baseline"/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</w:pPr>
            <w:r w:rsidRPr="00C21AAF"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  <w:t>miary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15BAE" w:rsidRPr="00C21AAF" w:rsidRDefault="00F15BAE" w:rsidP="00F15BA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</w:pPr>
            <w:r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  <w:t>Nazwa producenta model</w:t>
            </w:r>
          </w:p>
        </w:tc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</w:pPr>
            <w:r w:rsidRPr="00C21AAF"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  <w:t>Ilość</w:t>
            </w: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834DD">
            <w:pPr>
              <w:suppressLineNumbers/>
              <w:suppressAutoHyphens/>
              <w:autoSpaceDN w:val="0"/>
              <w:spacing w:after="0" w:line="245" w:lineRule="auto"/>
              <w:jc w:val="center"/>
              <w:textAlignment w:val="baseline"/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</w:pPr>
            <w:r w:rsidRPr="00C21AAF"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  <w:t>Cena jednostkowa netto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</w:pPr>
            <w:r w:rsidRPr="00C21AAF"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  <w:t>Wartość netto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15BAE" w:rsidRPr="00C21AAF" w:rsidRDefault="00F15BAE" w:rsidP="00F15BA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</w:pPr>
            <w:r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  <w:t>Stawka VAT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</w:pPr>
            <w:r w:rsidRPr="00C21AAF"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  <w:t>Wartość brutto</w:t>
            </w:r>
          </w:p>
        </w:tc>
      </w:tr>
      <w:tr w:rsidR="00F15BAE" w:rsidRPr="00C21AAF" w:rsidTr="00F15BAE">
        <w:trPr>
          <w:trHeight w:val="1135"/>
        </w:trPr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21AAF">
              <w:rPr>
                <w:rFonts w:ascii="Calibri" w:eastAsia="SimSun" w:hAnsi="Calibri" w:cs="Tahoma"/>
                <w:kern w:val="3"/>
              </w:rPr>
              <w:t>1</w:t>
            </w:r>
          </w:p>
        </w:tc>
        <w:tc>
          <w:tcPr>
            <w:tcW w:w="1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BAE" w:rsidRPr="00C21AAF" w:rsidRDefault="00F15BAE" w:rsidP="00C21AAF">
            <w:pPr>
              <w:suppressAutoHyphens/>
              <w:autoSpaceDN w:val="0"/>
              <w:spacing w:before="40" w:after="4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C21AAF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Aparat do mierzenia ciśnienia tętniczego krwi - wysokiej jakości , odporny na działanie czynników mechanicznych. Zegarowy z mankietami dla dorosłych w różnych rozmiarach, łącznie z udowym oraz  możliwością zmiany na mankiety pediatryczne, w saszetce zabezpieczającej przed wstrząsem.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  <w:r w:rsidRPr="00C21AAF">
              <w:rPr>
                <w:rFonts w:ascii="Tahoma" w:eastAsia="SimSun" w:hAnsi="Tahoma" w:cs="Tahoma"/>
                <w:kern w:val="3"/>
                <w:sz w:val="16"/>
                <w:szCs w:val="16"/>
              </w:rPr>
              <w:t>szt.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  <w:r w:rsidRPr="00C21AAF">
              <w:rPr>
                <w:rFonts w:ascii="Tahoma" w:eastAsia="SimSun" w:hAnsi="Tahoma" w:cs="Tahoma"/>
                <w:kern w:val="3"/>
                <w:sz w:val="16"/>
                <w:szCs w:val="16"/>
              </w:rPr>
              <w:t>50</w:t>
            </w: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</w:tr>
      <w:tr w:rsidR="00F15BAE" w:rsidRPr="00C21AAF" w:rsidTr="00F15BAE">
        <w:tc>
          <w:tcPr>
            <w:tcW w:w="2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21AAF">
              <w:rPr>
                <w:rFonts w:ascii="Calibri" w:eastAsia="SimSun" w:hAnsi="Calibri" w:cs="Tahoma"/>
                <w:kern w:val="3"/>
              </w:rPr>
              <w:t>2</w:t>
            </w:r>
          </w:p>
        </w:tc>
        <w:tc>
          <w:tcPr>
            <w:tcW w:w="16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BAE" w:rsidRPr="00C21AAF" w:rsidRDefault="00F15BAE" w:rsidP="00C21AAF">
            <w:pPr>
              <w:suppressAutoHyphens/>
              <w:autoSpaceDN w:val="0"/>
              <w:spacing w:before="40" w:after="4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C21AAF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Mankiet jednoprzewodowy kompatybilny z powyższym ciśnieniomierzem. Bawełniany z klamrą i wkładem PCV. Zapinany na rzep, posiadający klamrę ułatwiającą zapinanie. W rozmiarach :S-XXL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  <w:r w:rsidRPr="00C21AAF">
              <w:rPr>
                <w:rFonts w:ascii="Tahoma" w:eastAsia="SimSun" w:hAnsi="Tahoma" w:cs="Tahoma"/>
                <w:kern w:val="3"/>
                <w:sz w:val="16"/>
                <w:szCs w:val="16"/>
              </w:rPr>
              <w:t>szt.</w:t>
            </w: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  <w:r w:rsidRPr="00C21AAF">
              <w:rPr>
                <w:rFonts w:ascii="Tahoma" w:eastAsia="SimSun" w:hAnsi="Tahoma" w:cs="Tahoma"/>
                <w:kern w:val="3"/>
                <w:sz w:val="16"/>
                <w:szCs w:val="16"/>
              </w:rPr>
              <w:t>10</w:t>
            </w:r>
          </w:p>
        </w:tc>
        <w:tc>
          <w:tcPr>
            <w:tcW w:w="50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4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single" w:sz="2" w:space="0" w:color="000000"/>
              <w:bottom w:val="single" w:sz="2" w:space="0" w:color="000000"/>
            </w:tcBorders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</w:tr>
      <w:tr w:rsidR="00F15BAE" w:rsidRPr="00C21AAF" w:rsidTr="00F15BAE">
        <w:tc>
          <w:tcPr>
            <w:tcW w:w="2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21AAF">
              <w:rPr>
                <w:rFonts w:ascii="Calibri" w:eastAsia="SimSun" w:hAnsi="Calibri" w:cs="Tahoma"/>
                <w:kern w:val="3"/>
              </w:rPr>
              <w:t>3</w:t>
            </w:r>
          </w:p>
        </w:tc>
        <w:tc>
          <w:tcPr>
            <w:tcW w:w="16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BAE" w:rsidRPr="00C21AAF" w:rsidRDefault="00F15BAE" w:rsidP="00C21AAF">
            <w:pPr>
              <w:suppressAutoHyphens/>
              <w:autoSpaceDN w:val="0"/>
              <w:spacing w:before="40" w:after="4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C21AAF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Aparat do mierzenia ciśnienia tętniczego krwi, nadgarstkowy - wysokiej jakości , odporny na działanie czynników mechanicznych.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  <w:r w:rsidRPr="00C21AAF">
              <w:rPr>
                <w:rFonts w:ascii="Tahoma" w:eastAsia="SimSun" w:hAnsi="Tahoma" w:cs="Tahoma"/>
                <w:kern w:val="3"/>
                <w:sz w:val="16"/>
                <w:szCs w:val="16"/>
              </w:rPr>
              <w:t>szt.</w:t>
            </w: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  <w:r w:rsidRPr="00C21AAF">
              <w:rPr>
                <w:rFonts w:ascii="Tahoma" w:eastAsia="SimSun" w:hAnsi="Tahoma" w:cs="Tahoma"/>
                <w:kern w:val="3"/>
                <w:sz w:val="16"/>
                <w:szCs w:val="16"/>
              </w:rPr>
              <w:t>10</w:t>
            </w:r>
          </w:p>
        </w:tc>
        <w:tc>
          <w:tcPr>
            <w:tcW w:w="50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4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single" w:sz="2" w:space="0" w:color="000000"/>
              <w:bottom w:val="single" w:sz="2" w:space="0" w:color="000000"/>
            </w:tcBorders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</w:tr>
      <w:tr w:rsidR="00F15BAE" w:rsidRPr="00C21AAF" w:rsidTr="00F15BAE">
        <w:tc>
          <w:tcPr>
            <w:tcW w:w="2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21AAF">
              <w:rPr>
                <w:rFonts w:ascii="Calibri" w:eastAsia="SimSun" w:hAnsi="Calibri" w:cs="Tahoma"/>
                <w:kern w:val="3"/>
              </w:rPr>
              <w:t>4</w:t>
            </w:r>
          </w:p>
        </w:tc>
        <w:tc>
          <w:tcPr>
            <w:tcW w:w="16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BAE" w:rsidRPr="00C21AAF" w:rsidRDefault="00F15BAE" w:rsidP="00C21AAF">
            <w:pPr>
              <w:suppressAutoHyphens/>
              <w:autoSpaceDN w:val="0"/>
              <w:spacing w:before="40" w:after="4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C21AAF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Stetoskopy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C21AAF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BAE" w:rsidRPr="00C21AAF" w:rsidRDefault="00F15BAE" w:rsidP="00C21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C21AAF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4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single" w:sz="2" w:space="0" w:color="000000"/>
              <w:bottom w:val="single" w:sz="2" w:space="0" w:color="000000"/>
            </w:tcBorders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</w:tr>
      <w:tr w:rsidR="00F15BAE" w:rsidRPr="00C21AAF" w:rsidTr="00C66493">
        <w:tc>
          <w:tcPr>
            <w:tcW w:w="5000" w:type="pct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15BAE" w:rsidRPr="00C21AAF" w:rsidRDefault="00F15BAE" w:rsidP="00C21A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i/>
                <w:kern w:val="3"/>
                <w:sz w:val="18"/>
                <w:szCs w:val="18"/>
                <w:lang w:eastAsia="pl-PL"/>
              </w:rPr>
            </w:pPr>
            <w:r w:rsidRPr="00C21AAF">
              <w:rPr>
                <w:rFonts w:ascii="Tahoma" w:eastAsia="Times New Roman" w:hAnsi="Tahoma" w:cs="Tahoma"/>
                <w:b/>
                <w:i/>
                <w:kern w:val="3"/>
                <w:sz w:val="18"/>
                <w:szCs w:val="18"/>
                <w:lang w:eastAsia="pl-PL"/>
              </w:rPr>
              <w:t>Dopuszcza się wyłącznie pakiet wypełniony w całości.</w:t>
            </w:r>
          </w:p>
          <w:p w:rsidR="00F15BAE" w:rsidRPr="00C21AAF" w:rsidRDefault="00F15BAE" w:rsidP="00C21A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i/>
                <w:kern w:val="3"/>
                <w:sz w:val="18"/>
                <w:szCs w:val="18"/>
                <w:lang w:eastAsia="pl-PL"/>
              </w:rPr>
            </w:pPr>
          </w:p>
          <w:p w:rsidR="00F15BAE" w:rsidRPr="00C21AAF" w:rsidRDefault="00F15BAE" w:rsidP="00C21AAF">
            <w:pPr>
              <w:suppressLineNumbers/>
              <w:suppressAutoHyphens/>
              <w:autoSpaceDN w:val="0"/>
              <w:spacing w:line="244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C21AAF">
              <w:rPr>
                <w:rFonts w:ascii="Tahoma" w:eastAsia="Times New Roman" w:hAnsi="Tahoma" w:cs="Tahoma"/>
                <w:b/>
                <w:i/>
                <w:kern w:val="3"/>
                <w:sz w:val="18"/>
                <w:szCs w:val="18"/>
                <w:lang w:eastAsia="pl-PL"/>
              </w:rPr>
              <w:t>Zamawiający dla potwierdzenie zgodności opisu przedmiotu zamówienia z oferowanym sprzętem lub produktem, zastrzega sobie prawo wezwania Wykonawcy do przesłania po jednej sztuce/opakowaniu próbki oferowanego przedmiotu zamówienia.</w:t>
            </w:r>
            <w:r w:rsidRPr="00C21AAF">
              <w:rPr>
                <w:rFonts w:ascii="Tahoma" w:eastAsia="Times New Roman" w:hAnsi="Tahoma" w:cs="Tahoma"/>
                <w:i/>
                <w:kern w:val="3"/>
                <w:sz w:val="16"/>
                <w:szCs w:val="16"/>
                <w:lang w:eastAsia="pl-PL"/>
              </w:rPr>
              <w:t xml:space="preserve">  </w:t>
            </w:r>
          </w:p>
        </w:tc>
      </w:tr>
    </w:tbl>
    <w:p w:rsidR="00F24212" w:rsidRDefault="00F24212"/>
    <w:p w:rsidR="00C21AAF" w:rsidRDefault="00C21AAF"/>
    <w:p w:rsidR="00C21AAF" w:rsidRDefault="00C21AAF" w:rsidP="00C21AAF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21AAF" w:rsidRDefault="00C21AAF" w:rsidP="00C21AAF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21AAF" w:rsidRPr="00E66C2D" w:rsidRDefault="00C21AAF" w:rsidP="00C21AAF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66C2D">
        <w:rPr>
          <w:rFonts w:ascii="Tahoma" w:eastAsia="Times New Roman" w:hAnsi="Tahoma" w:cs="Tahoma"/>
          <w:sz w:val="16"/>
          <w:szCs w:val="16"/>
          <w:lang w:eastAsia="pl-PL"/>
        </w:rPr>
        <w:t xml:space="preserve">…………………………………………………………  </w:t>
      </w:r>
      <w:r w:rsidRPr="00E66C2D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E66C2D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E66C2D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E66C2D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E66C2D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E66C2D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E66C2D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E66C2D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E66C2D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E66C2D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</w:t>
      </w:r>
      <w:r w:rsidRPr="00E66C2D">
        <w:rPr>
          <w:rFonts w:ascii="Tahoma" w:eastAsia="Times New Roman" w:hAnsi="Tahoma" w:cs="Tahoma"/>
          <w:i/>
          <w:sz w:val="16"/>
          <w:szCs w:val="16"/>
          <w:lang w:eastAsia="pl-PL"/>
        </w:rPr>
        <w:t>………………………………………………………………</w:t>
      </w:r>
      <w:r w:rsidRPr="00E66C2D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66C2D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</w:p>
    <w:p w:rsidR="00C21AAF" w:rsidRPr="0031276A" w:rsidRDefault="00C21AAF" w:rsidP="0031276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66C2D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pieczęć firmowa  i data       </w:t>
      </w:r>
      <w:r w:rsidRPr="00E66C2D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               </w:t>
      </w:r>
      <w:r w:rsidRPr="00E66C2D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                    podpis osoby uprawnionej</w:t>
      </w:r>
      <w:r w:rsidRPr="00E66C2D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</w:p>
    <w:sectPr w:rsidR="00C21AAF" w:rsidRPr="0031276A" w:rsidSect="00C21A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AF"/>
    <w:rsid w:val="0031276A"/>
    <w:rsid w:val="00B61A88"/>
    <w:rsid w:val="00C21AAF"/>
    <w:rsid w:val="00C66493"/>
    <w:rsid w:val="00C834DD"/>
    <w:rsid w:val="00F15BAE"/>
    <w:rsid w:val="00F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DC4B-66C5-485D-BC07-3BAB8D84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3</cp:revision>
  <dcterms:created xsi:type="dcterms:W3CDTF">2019-08-21T06:51:00Z</dcterms:created>
  <dcterms:modified xsi:type="dcterms:W3CDTF">2019-08-21T06:53:00Z</dcterms:modified>
</cp:coreProperties>
</file>