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B" w:rsidRDefault="009F73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414CEB" w:rsidRDefault="00414CEB">
      <w:pPr>
        <w:rPr>
          <w:rFonts w:ascii="Tahoma" w:hAnsi="Tahoma" w:cs="Tahoma"/>
          <w:sz w:val="20"/>
          <w:szCs w:val="20"/>
        </w:rPr>
      </w:pPr>
    </w:p>
    <w:p w:rsidR="00414CEB" w:rsidRDefault="009F73F3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</w:p>
    <w:p w:rsidR="00414CEB" w:rsidRDefault="00414CEB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14CEB" w:rsidRDefault="009F73F3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414CEB" w:rsidRDefault="009F73F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Budowa sieci wodociągowej i kanalizacji sanitarnej w ulicy Lipowej w Toruniu wraz z tłocznią ścieków i kanałem tłocznym.</w:t>
      </w:r>
    </w:p>
    <w:p w:rsidR="00414CEB" w:rsidRDefault="00414CEB">
      <w:pPr>
        <w:jc w:val="both"/>
        <w:rPr>
          <w:rFonts w:ascii="Tahoma" w:hAnsi="Tahoma" w:cs="Tahoma"/>
          <w:sz w:val="20"/>
          <w:szCs w:val="20"/>
        </w:rPr>
      </w:pPr>
    </w:p>
    <w:p w:rsidR="00414CEB" w:rsidRDefault="009F73F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robót</w:t>
      </w:r>
    </w:p>
    <w:p w:rsidR="00661FCD" w:rsidRDefault="00661FCD" w:rsidP="00661FCD">
      <w:pPr>
        <w:ind w:left="426"/>
        <w:rPr>
          <w:rFonts w:ascii="Tahoma" w:hAnsi="Tahoma" w:cs="Tahoma"/>
          <w:b/>
          <w:sz w:val="20"/>
          <w:szCs w:val="20"/>
        </w:rPr>
      </w:pPr>
    </w:p>
    <w:p w:rsidR="00414CEB" w:rsidRPr="00661FCD" w:rsidRDefault="00166B1F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61FCD">
        <w:rPr>
          <w:rFonts w:ascii="Tahoma" w:hAnsi="Tahoma" w:cs="Tahoma"/>
          <w:color w:val="000000"/>
          <w:sz w:val="20"/>
          <w:szCs w:val="20"/>
          <w:u w:val="single"/>
        </w:rPr>
        <w:t>Sieć wodociągowa</w:t>
      </w:r>
      <w:r w:rsidR="009F73F3" w:rsidRPr="00661FCD"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sieć wodociągowa DN 125 z rur żeliwnych – odcinek od istniejącej końcówki przewodu przy węźle W14 do węzła W21 oraz od węzła W17 do węzła W26 – </w:t>
      </w:r>
      <w:r>
        <w:rPr>
          <w:rFonts w:ascii="Tahoma" w:hAnsi="Tahoma" w:cs="Tahoma"/>
          <w:color w:val="000000"/>
          <w:sz w:val="20"/>
          <w:szCs w:val="20"/>
        </w:rPr>
        <w:br/>
        <w:t>722,6 m;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zasuwy DN 150 –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661FCD">
        <w:rPr>
          <w:rFonts w:ascii="Tahoma" w:hAnsi="Tahoma" w:cs="Tahoma"/>
          <w:color w:val="000000"/>
          <w:sz w:val="20"/>
          <w:szCs w:val="20"/>
        </w:rPr>
        <w:t>.;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zasuwy DN 125 – 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661FCD">
        <w:rPr>
          <w:rFonts w:ascii="Tahoma" w:hAnsi="Tahoma" w:cs="Tahoma"/>
          <w:color w:val="000000"/>
          <w:sz w:val="20"/>
          <w:szCs w:val="20"/>
        </w:rPr>
        <w:t>.;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hydranty DN 80 – 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661FCD">
        <w:rPr>
          <w:rFonts w:ascii="Tahoma" w:hAnsi="Tahoma" w:cs="Tahoma"/>
          <w:color w:val="000000"/>
          <w:sz w:val="20"/>
          <w:szCs w:val="20"/>
        </w:rPr>
        <w:t>.;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studni</w:t>
      </w:r>
      <w:r w:rsidR="00661FCD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płucząc</w:t>
      </w:r>
      <w:r w:rsidR="00661FCD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–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 w:rsidR="00661FCD">
        <w:rPr>
          <w:rFonts w:ascii="Tahoma" w:hAnsi="Tahoma" w:cs="Tahoma"/>
          <w:color w:val="000000"/>
          <w:sz w:val="20"/>
          <w:szCs w:val="20"/>
        </w:rPr>
        <w:t>;</w:t>
      </w:r>
    </w:p>
    <w:p w:rsidR="00166B1F" w:rsidRDefault="00166B1F" w:rsidP="00166B1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przewód wodociągowy średnicy 40 mm od studni płuczącej – 4,6 m</w:t>
      </w:r>
      <w:r w:rsidR="00661FCD">
        <w:rPr>
          <w:rFonts w:ascii="Tahoma" w:hAnsi="Tahoma" w:cs="Tahoma"/>
          <w:color w:val="000000"/>
          <w:sz w:val="20"/>
          <w:szCs w:val="20"/>
        </w:rPr>
        <w:t>.</w:t>
      </w:r>
    </w:p>
    <w:p w:rsidR="00166B1F" w:rsidRPr="00661FCD" w:rsidRDefault="00166B1F" w:rsidP="00661FCD">
      <w:pPr>
        <w:ind w:left="1211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6B1F" w:rsidRPr="00661FCD" w:rsidRDefault="00166B1F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61FCD">
        <w:rPr>
          <w:rFonts w:ascii="Tahoma" w:hAnsi="Tahoma" w:cs="Tahoma"/>
          <w:color w:val="000000"/>
          <w:sz w:val="20"/>
          <w:szCs w:val="20"/>
          <w:u w:val="single"/>
        </w:rPr>
        <w:t>Sieć kanalizacji sanitarnej:</w:t>
      </w:r>
    </w:p>
    <w:p w:rsidR="00414CEB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 xml:space="preserve">sieć kanalizacyjna DN 200 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z rur kamionkowych – odcinek od istniejącej końcówki przewodu przy studni KS5 – KS4 – KS3 – KS2 – KS1 – KS0 – T (tłocznia ścieków), 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KS1 – KS1a – KS1b – KS1c – KS1d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– 450 m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;</w:t>
      </w:r>
    </w:p>
    <w:p w:rsidR="00414CEB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sieć kanalizacyjna DN 200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 z rur GRP na odcinku SR 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–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F73F3" w:rsidRPr="00166B1F">
        <w:rPr>
          <w:rFonts w:ascii="Tahoma" w:hAnsi="Tahoma" w:cs="Tahoma"/>
          <w:color w:val="000000"/>
          <w:sz w:val="20"/>
          <w:szCs w:val="20"/>
        </w:rPr>
        <w:t>K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s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>istn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7,2 m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;</w:t>
      </w:r>
    </w:p>
    <w:p w:rsidR="00414CEB" w:rsidRDefault="009F73F3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>odgał</w:t>
      </w:r>
      <w:r w:rsidR="00166B1F">
        <w:rPr>
          <w:rFonts w:ascii="Tahoma" w:hAnsi="Tahoma" w:cs="Tahoma"/>
          <w:color w:val="000000"/>
          <w:sz w:val="20"/>
          <w:szCs w:val="20"/>
        </w:rPr>
        <w:t>ęzienia boczne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sieci kanalizacyjnej DN </w:t>
      </w:r>
      <w:r w:rsidR="00166B1F">
        <w:rPr>
          <w:rFonts w:ascii="Tahoma" w:hAnsi="Tahoma" w:cs="Tahoma"/>
          <w:color w:val="000000"/>
          <w:sz w:val="20"/>
          <w:szCs w:val="20"/>
        </w:rPr>
        <w:t xml:space="preserve">150 </w:t>
      </w:r>
      <w:r w:rsidRPr="00166B1F">
        <w:rPr>
          <w:rFonts w:ascii="Tahoma" w:hAnsi="Tahoma" w:cs="Tahoma"/>
          <w:color w:val="000000"/>
          <w:sz w:val="20"/>
          <w:szCs w:val="20"/>
        </w:rPr>
        <w:t>z rur kamionkowych</w:t>
      </w:r>
      <w:r w:rsidR="00166B1F">
        <w:rPr>
          <w:rFonts w:ascii="Tahoma" w:hAnsi="Tahoma" w:cs="Tahoma"/>
          <w:color w:val="000000"/>
          <w:sz w:val="20"/>
          <w:szCs w:val="20"/>
        </w:rPr>
        <w:t xml:space="preserve"> – 94,3 m </w:t>
      </w:r>
      <w:r w:rsidR="00166B1F">
        <w:rPr>
          <w:rFonts w:ascii="Tahoma" w:hAnsi="Tahoma" w:cs="Tahoma"/>
          <w:color w:val="000000"/>
          <w:sz w:val="20"/>
          <w:szCs w:val="20"/>
        </w:rPr>
        <w:br/>
        <w:t xml:space="preserve">(14 </w:t>
      </w:r>
      <w:proofErr w:type="spellStart"/>
      <w:r w:rsidR="00166B1F"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166B1F">
        <w:rPr>
          <w:rFonts w:ascii="Tahoma" w:hAnsi="Tahoma" w:cs="Tahoma"/>
          <w:color w:val="000000"/>
          <w:sz w:val="20"/>
          <w:szCs w:val="20"/>
        </w:rPr>
        <w:t>.)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;</w:t>
      </w:r>
    </w:p>
    <w:p w:rsidR="00414CEB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sieć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 kanalizacji tłocz</w:t>
      </w:r>
      <w:r>
        <w:rPr>
          <w:rFonts w:ascii="Tahoma" w:hAnsi="Tahoma" w:cs="Tahoma"/>
          <w:color w:val="000000"/>
          <w:sz w:val="20"/>
          <w:szCs w:val="20"/>
        </w:rPr>
        <w:t xml:space="preserve">nej DN 125 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z rur PE100 na </w:t>
      </w:r>
      <w:r>
        <w:rPr>
          <w:rFonts w:ascii="Tahoma" w:hAnsi="Tahoma" w:cs="Tahoma"/>
          <w:color w:val="000000"/>
          <w:sz w:val="20"/>
          <w:szCs w:val="20"/>
        </w:rPr>
        <w:t xml:space="preserve">odcinku T – SR, w tym odcinek o długości </w:t>
      </w:r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ok. 20 m w ul. Olsztyńskiej do wykonania </w:t>
      </w:r>
      <w:proofErr w:type="spellStart"/>
      <w:r w:rsidR="009F73F3" w:rsidRPr="00166B1F">
        <w:rPr>
          <w:rFonts w:ascii="Tahoma" w:hAnsi="Tahoma" w:cs="Tahoma"/>
          <w:color w:val="000000"/>
          <w:sz w:val="20"/>
          <w:szCs w:val="20"/>
        </w:rPr>
        <w:t>przeciskiem</w:t>
      </w:r>
      <w:proofErr w:type="spellEnd"/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 (włączenie do </w:t>
      </w:r>
      <w:proofErr w:type="spellStart"/>
      <w:r w:rsidR="009F73F3" w:rsidRPr="00166B1F">
        <w:rPr>
          <w:rFonts w:ascii="Tahoma" w:hAnsi="Tahoma" w:cs="Tahoma"/>
          <w:color w:val="000000"/>
          <w:sz w:val="20"/>
          <w:szCs w:val="20"/>
        </w:rPr>
        <w:t>ks</w:t>
      </w:r>
      <w:proofErr w:type="spellEnd"/>
      <w:r w:rsidR="009F73F3" w:rsidRPr="00166B1F">
        <w:rPr>
          <w:rFonts w:ascii="Tahoma" w:hAnsi="Tahoma" w:cs="Tahoma"/>
          <w:color w:val="000000"/>
          <w:sz w:val="20"/>
          <w:szCs w:val="20"/>
        </w:rPr>
        <w:t xml:space="preserve"> istniejącej)</w:t>
      </w:r>
      <w:r>
        <w:rPr>
          <w:rFonts w:ascii="Tahoma" w:hAnsi="Tahoma" w:cs="Tahoma"/>
          <w:color w:val="000000"/>
          <w:sz w:val="20"/>
          <w:szCs w:val="20"/>
        </w:rPr>
        <w:t xml:space="preserve"> – 280,4 m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;</w:t>
      </w:r>
    </w:p>
    <w:p w:rsidR="00414CEB" w:rsidRDefault="009F73F3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>tłoczni</w:t>
      </w:r>
      <w:r w:rsidR="00166B1F">
        <w:rPr>
          <w:rFonts w:ascii="Tahoma" w:hAnsi="Tahoma" w:cs="Tahoma"/>
          <w:color w:val="000000"/>
          <w:sz w:val="20"/>
          <w:szCs w:val="20"/>
        </w:rPr>
        <w:t>a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ścieków wraz z zagospodarowaniem terenu (utwardze</w:t>
      </w:r>
      <w:r w:rsidR="00E90328" w:rsidRPr="00166B1F">
        <w:rPr>
          <w:rFonts w:ascii="Tahoma" w:hAnsi="Tahoma" w:cs="Tahoma"/>
          <w:color w:val="000000"/>
          <w:sz w:val="20"/>
          <w:szCs w:val="20"/>
        </w:rPr>
        <w:t>nie terenu w obrębie ogrodzenia</w:t>
      </w:r>
      <w:r w:rsidRPr="00166B1F">
        <w:rPr>
          <w:rFonts w:ascii="Tahoma" w:hAnsi="Tahoma" w:cs="Tahoma"/>
          <w:color w:val="000000"/>
          <w:sz w:val="20"/>
          <w:szCs w:val="20"/>
        </w:rPr>
        <w:t>, ogrodzenie, oświetlenie)</w:t>
      </w:r>
      <w:r w:rsidR="00166B1F">
        <w:rPr>
          <w:rFonts w:ascii="Tahoma" w:hAnsi="Tahoma" w:cs="Tahoma"/>
          <w:color w:val="000000"/>
          <w:sz w:val="20"/>
          <w:szCs w:val="20"/>
        </w:rPr>
        <w:t xml:space="preserve"> – 1 </w:t>
      </w:r>
      <w:proofErr w:type="spellStart"/>
      <w:r w:rsidR="00166B1F"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166B1F">
        <w:rPr>
          <w:rFonts w:ascii="Tahoma" w:hAnsi="Tahoma" w:cs="Tahoma"/>
          <w:color w:val="000000"/>
          <w:sz w:val="20"/>
          <w:szCs w:val="20"/>
        </w:rPr>
        <w:t>.;</w:t>
      </w:r>
    </w:p>
    <w:p w:rsidR="00414CEB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>studni</w:t>
      </w:r>
      <w:r>
        <w:rPr>
          <w:rFonts w:ascii="Tahoma" w:hAnsi="Tahoma" w:cs="Tahoma"/>
          <w:color w:val="000000"/>
          <w:sz w:val="20"/>
          <w:szCs w:val="20"/>
        </w:rPr>
        <w:t>e kanalizacyjne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DN 1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200 – 8 </w:t>
      </w:r>
      <w:proofErr w:type="spellStart"/>
      <w:r w:rsidRPr="00166B1F"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Pr="00166B1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166B1F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>studni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rozprężn</w:t>
      </w:r>
      <w:r>
        <w:rPr>
          <w:rFonts w:ascii="Tahoma" w:hAnsi="Tahoma" w:cs="Tahoma"/>
          <w:color w:val="000000"/>
          <w:sz w:val="20"/>
          <w:szCs w:val="20"/>
        </w:rPr>
        <w:t xml:space="preserve">a –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.;</w:t>
      </w:r>
    </w:p>
    <w:p w:rsidR="00166B1F" w:rsidRPr="00166B1F" w:rsidRDefault="00166B1F" w:rsidP="00166B1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66B1F">
        <w:rPr>
          <w:rFonts w:ascii="Tahoma" w:hAnsi="Tahoma" w:cs="Tahoma"/>
          <w:color w:val="000000"/>
          <w:sz w:val="20"/>
          <w:szCs w:val="20"/>
        </w:rPr>
        <w:t>studni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166B1F">
        <w:rPr>
          <w:rFonts w:ascii="Tahoma" w:hAnsi="Tahoma" w:cs="Tahoma"/>
          <w:color w:val="000000"/>
          <w:sz w:val="20"/>
          <w:szCs w:val="20"/>
        </w:rPr>
        <w:t xml:space="preserve"> osadnikow</w:t>
      </w:r>
      <w:r>
        <w:rPr>
          <w:rFonts w:ascii="Tahoma" w:hAnsi="Tahoma" w:cs="Tahoma"/>
          <w:color w:val="000000"/>
          <w:sz w:val="20"/>
          <w:szCs w:val="20"/>
        </w:rPr>
        <w:t xml:space="preserve">a –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166B1F" w:rsidRDefault="00166B1F" w:rsidP="00166B1F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414CEB" w:rsidRDefault="009F73F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Szczegółowy opis przedmiotu zamówienia stanowi projekt budowlany opracowany w sierpniu 2021 r. przez </w:t>
      </w:r>
      <w:r>
        <w:rPr>
          <w:rFonts w:ascii="Tahoma" w:hAnsi="Tahoma" w:cs="Tahoma"/>
          <w:sz w:val="20"/>
          <w:szCs w:val="20"/>
        </w:rPr>
        <w:t>HANKOP – nadzór i projektowanie sieci  i instalacji sanitarnych, z siedzibą w Toruniu, ul. Kurpiowska 7/6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wraz ze Specyfikacją techniczną wykonania i odbioru robót. </w:t>
      </w:r>
    </w:p>
    <w:p w:rsidR="00414CEB" w:rsidRDefault="00414CE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14CEB" w:rsidRDefault="009F73F3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414CEB" w:rsidRDefault="009F73F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Materiały stosować zgodnie z projektem budowlanym z uwzględnieniem „</w:t>
      </w:r>
      <w:r>
        <w:rPr>
          <w:rFonts w:ascii="Tahoma" w:hAnsi="Tahoma" w:cs="Tahoma"/>
          <w:sz w:val="20"/>
        </w:rPr>
        <w:t>Podstawowych wymagań technicznych rur, kształtek i obiektów stawianych nowoprojektowanym układom kanalizacji sanitarnej”</w:t>
      </w:r>
      <w:r>
        <w:rPr>
          <w:rFonts w:ascii="Tahoma" w:hAnsi="Tahoma" w:cs="Tahoma"/>
          <w:sz w:val="20"/>
          <w:szCs w:val="20"/>
        </w:rPr>
        <w:t xml:space="preserve"> 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>
        <w:rPr>
          <w:rFonts w:ascii="Tahoma" w:hAnsi="Tahoma" w:cs="Tahoma"/>
          <w:sz w:val="20"/>
        </w:rPr>
        <w:t>„Strefa klienta – Jak załatwić sprawę – Załatwianie spraw – Wytyczne techniczne”</w:t>
      </w:r>
      <w:r>
        <w:rPr>
          <w:rFonts w:ascii="Tahoma" w:hAnsi="Tahoma" w:cs="Tahoma"/>
          <w:sz w:val="20"/>
          <w:szCs w:val="20"/>
        </w:rPr>
        <w:t>.</w:t>
      </w:r>
    </w:p>
    <w:p w:rsidR="00414CEB" w:rsidRDefault="00414CEB">
      <w:pPr>
        <w:pStyle w:val="Opis"/>
        <w:spacing w:line="240" w:lineRule="auto"/>
        <w:rPr>
          <w:rFonts w:cs="Tahoma"/>
        </w:rPr>
      </w:pPr>
    </w:p>
    <w:p w:rsidR="00414CEB" w:rsidRDefault="009F73F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414CEB" w:rsidRDefault="00414CEB">
      <w:pPr>
        <w:rPr>
          <w:rFonts w:ascii="Tahoma" w:hAnsi="Tahoma" w:cs="Tahoma"/>
          <w:b/>
          <w:sz w:val="20"/>
          <w:szCs w:val="20"/>
        </w:rPr>
      </w:pP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ramach organizacji placu budowy realizacja własnym kosztem i staraniem obiektów tymczasowego zaplecza budowy oraz poniesienie kosztów zużycia wody i energii w okresie realizacji robót</w:t>
      </w:r>
      <w:r>
        <w:rPr>
          <w:rFonts w:ascii="Tahoma" w:hAnsi="Tahoma" w:cs="Tahoma"/>
          <w:sz w:val="20"/>
          <w:szCs w:val="20"/>
        </w:rPr>
        <w:t xml:space="preserve"> oraz pozyskanie decyzji na zajęcie pasa drogowego na czas prowadzenia robót i dokonanie stosownych opłat.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lastRenderedPageBreak/>
        <w:t>Dysponowanie dla potrzeb realizacji niniejszego zadania osobą kierownika budowy posiadającego uprawnienia budowlane do kierowania robotami budowlanymi o specjalności instalacyjnej w zakresie sieci wod-kan.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robót ziemnych wraz umocnieniem wykopów, odwiezieniem urobku na czasowe składowisko</w:t>
      </w:r>
      <w:r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robót drogowych – z odtworzeniem nawierzchni do stanu pierwotnego stosownie do występującej nawierzchni w tym </w:t>
      </w:r>
      <w:r>
        <w:rPr>
          <w:rFonts w:ascii="Tahoma" w:hAnsi="Tahoma" w:cs="Tahoma"/>
          <w:sz w:val="20"/>
          <w:szCs w:val="20"/>
          <w:u w:val="single"/>
        </w:rPr>
        <w:t xml:space="preserve">także z odpowiednim utwardzeniem dróg o nawierzchni gruntowej </w:t>
      </w:r>
      <w:r>
        <w:rPr>
          <w:rFonts w:ascii="Tahoma" w:hAnsi="Tahoma" w:cs="Tahoma"/>
          <w:sz w:val="20"/>
          <w:szCs w:val="20"/>
        </w:rPr>
        <w:t>do stanu nie gorszego niż przed robotami (zgodnie z uzgodnieniami dokonanymi z właścicielami terenu). Odtworzenie terenu do jego pierwotnego stanu i uzyskanie pisemnego potwierdzenia tego faktu od właściciela stanowi bezwzględny obowiązek wykonawcy.</w:t>
      </w:r>
    </w:p>
    <w:p w:rsidR="00414CEB" w:rsidRDefault="009F73F3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nawierzchni drogowej </w:t>
      </w:r>
      <w:r>
        <w:rPr>
          <w:rFonts w:ascii="Tahoma" w:hAnsi="Tahoma" w:cs="Tahoma"/>
          <w:sz w:val="20"/>
          <w:szCs w:val="20"/>
          <w:u w:val="single"/>
        </w:rPr>
        <w:t>tylko na terenie tłoczni</w:t>
      </w:r>
      <w:r>
        <w:rPr>
          <w:rFonts w:ascii="Tahoma" w:hAnsi="Tahoma" w:cs="Tahoma"/>
          <w:sz w:val="20"/>
          <w:szCs w:val="20"/>
        </w:rPr>
        <w:t xml:space="preserve"> zgodnie z projektem.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Zaktualizowanie projektu organizacji ruchu będącego w posiadaniu Zamawiającego. Wykonanie organizacji ruchu i zabezpieczenie robót w czasie realizacji zadania.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Rozbiórka umocnienia, zasypanie wykopu z zagęszczeniem gruntu na całej głębokości wykopu. Po zakończeniu budowy Wykonawca przedstawi MZD do akceptacji protokoły zagęszczenia gruntu zgodnie z ich wymogami.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Przestrzeganie uzgodnień z gestorami sieci, właścicielami posesji dla których realizowane są zadania oraz z Miejskim Zarządem Dróg.</w:t>
      </w:r>
    </w:p>
    <w:p w:rsidR="00414CEB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zabezpieczenia urządzeń podziemnych krzyżujących się z trasą realizowanych sieci.</w:t>
      </w:r>
    </w:p>
    <w:p w:rsidR="00414CEB" w:rsidRPr="00AD6085" w:rsidRDefault="009F73F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</w:t>
      </w:r>
      <w:r w:rsidRPr="00AD6085">
        <w:rPr>
          <w:rFonts w:ascii="Tahoma" w:hAnsi="Tahoma" w:cs="Tahoma"/>
          <w:sz w:val="20"/>
          <w:szCs w:val="20"/>
        </w:rPr>
        <w:t>robót odwodnieniowych.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Oznakowanie armatury wodociągowej i kanalizacyjnej.</w:t>
      </w:r>
    </w:p>
    <w:p w:rsidR="00414CEB" w:rsidRPr="00AD6085" w:rsidRDefault="00E90328">
      <w:pPr>
        <w:numPr>
          <w:ilvl w:val="1"/>
          <w:numId w:val="1"/>
        </w:numPr>
        <w:jc w:val="both"/>
        <w:rPr>
          <w:rFonts w:ascii="Tahoma" w:hAnsi="Tahoma" w:cs="Tahoma"/>
          <w:bCs/>
          <w:iCs/>
          <w:sz w:val="20"/>
          <w:szCs w:val="20"/>
        </w:rPr>
      </w:pPr>
      <w:r w:rsidRPr="00AD6085">
        <w:rPr>
          <w:rFonts w:ascii="Tahoma" w:hAnsi="Tahoma" w:cs="Tahoma"/>
          <w:bCs/>
          <w:iCs/>
          <w:sz w:val="20"/>
          <w:szCs w:val="20"/>
        </w:rPr>
        <w:t>P</w:t>
      </w:r>
      <w:r w:rsidR="009F73F3" w:rsidRPr="00AD6085">
        <w:rPr>
          <w:rFonts w:ascii="Tahoma" w:hAnsi="Tahoma" w:cs="Tahoma"/>
          <w:bCs/>
          <w:iCs/>
          <w:sz w:val="20"/>
          <w:szCs w:val="20"/>
        </w:rPr>
        <w:t xml:space="preserve">rzeprowadzenie rozruchu tłoczni ścieków w obecności komisji powołanej przez Zamawiającego. Z rozruchu </w:t>
      </w:r>
      <w:r w:rsidRPr="00AD6085">
        <w:rPr>
          <w:rFonts w:ascii="Tahoma" w:hAnsi="Tahoma" w:cs="Tahoma"/>
          <w:bCs/>
          <w:iCs/>
          <w:sz w:val="20"/>
          <w:szCs w:val="20"/>
        </w:rPr>
        <w:t>należy</w:t>
      </w:r>
      <w:r w:rsidR="009F73F3" w:rsidRPr="00AD6085">
        <w:rPr>
          <w:rFonts w:ascii="Tahoma" w:hAnsi="Tahoma" w:cs="Tahoma"/>
          <w:bCs/>
          <w:iCs/>
          <w:sz w:val="20"/>
          <w:szCs w:val="20"/>
        </w:rPr>
        <w:t xml:space="preserve"> spisa</w:t>
      </w:r>
      <w:r w:rsidRPr="00AD6085">
        <w:rPr>
          <w:rFonts w:ascii="Tahoma" w:hAnsi="Tahoma" w:cs="Tahoma"/>
          <w:bCs/>
          <w:iCs/>
          <w:sz w:val="20"/>
          <w:szCs w:val="20"/>
        </w:rPr>
        <w:t>ć</w:t>
      </w:r>
      <w:r w:rsidR="009F73F3" w:rsidRPr="00AD6085">
        <w:rPr>
          <w:rFonts w:ascii="Tahoma" w:hAnsi="Tahoma" w:cs="Tahoma"/>
          <w:bCs/>
          <w:iCs/>
          <w:sz w:val="20"/>
          <w:szCs w:val="20"/>
        </w:rPr>
        <w:t xml:space="preserve"> protokół, potwierdzający osiągnięcie parametrów tłoczni, zakładanych w dokumentacji technicznej</w:t>
      </w:r>
    </w:p>
    <w:p w:rsidR="00414CEB" w:rsidRPr="00AD6085" w:rsidRDefault="00E90328">
      <w:pPr>
        <w:numPr>
          <w:ilvl w:val="1"/>
          <w:numId w:val="1"/>
        </w:numPr>
        <w:jc w:val="both"/>
        <w:rPr>
          <w:rFonts w:ascii="Tahoma" w:hAnsi="Tahoma" w:cs="Tahoma"/>
          <w:bCs/>
          <w:iCs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P</w:t>
      </w:r>
      <w:r w:rsidR="009F73F3" w:rsidRPr="00AD6085">
        <w:rPr>
          <w:rFonts w:ascii="Tahoma" w:hAnsi="Tahoma" w:cs="Tahoma"/>
          <w:sz w:val="20"/>
          <w:szCs w:val="20"/>
        </w:rPr>
        <w:t>rzygotowanie instrukcji użytkowania tłoczni ścieków wraz ze schematami technologicznymi instalacji wewnętrznej obiektu</w:t>
      </w:r>
      <w:r w:rsidRPr="00AD6085">
        <w:rPr>
          <w:rFonts w:ascii="Tahoma" w:hAnsi="Tahoma" w:cs="Tahoma"/>
          <w:sz w:val="20"/>
          <w:szCs w:val="20"/>
        </w:rPr>
        <w:t>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Oznakowanie urządzeń na sieci i na terenie obiektów zgodnie z wymogami użytkownika oraz przepisami BHP. Skompletowanie dokumentów zgodnie z przepisami BHP.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color w:val="000000"/>
          <w:sz w:val="20"/>
        </w:rPr>
        <w:t>Zabezpieczenie</w:t>
      </w:r>
      <w:r>
        <w:rPr>
          <w:rFonts w:ascii="Tahoma" w:hAnsi="Tahoma" w:cs="Tahoma"/>
          <w:color w:val="000000"/>
          <w:sz w:val="20"/>
        </w:rPr>
        <w:t xml:space="preserve"> drzew na terenie prowadzenia robót opisane w dokumencie „Ochrona drzew w procesie inwestycyjnym, zamieszczonym na stronie internetowej Spółki w zakładce „Strefa klienta – Jak załatwić sprawę – Wytyczne techniczne). Zabezpieczenie należy wykonać </w:t>
      </w:r>
      <w:r>
        <w:rPr>
          <w:rFonts w:ascii="Tahoma" w:hAnsi="Tahoma" w:cs="Tahoma"/>
          <w:color w:val="000000"/>
          <w:sz w:val="20"/>
          <w:u w:val="single"/>
        </w:rPr>
        <w:t>przed</w:t>
      </w:r>
      <w:r>
        <w:rPr>
          <w:rFonts w:ascii="Tahoma" w:hAnsi="Tahoma" w:cs="Tahoma"/>
          <w:color w:val="000000"/>
          <w:sz w:val="20"/>
        </w:rPr>
        <w:t xml:space="preserve"> przystąpieniem do robót budowlanych.</w:t>
      </w:r>
      <w:r>
        <w:rPr>
          <w:rFonts w:ascii="Tahoma" w:hAnsi="Tahoma" w:cs="Tahoma"/>
          <w:sz w:val="20"/>
          <w:szCs w:val="20"/>
        </w:rPr>
        <w:t xml:space="preserve"> W przypadku zbliżenia </w:t>
      </w:r>
      <w:r w:rsidRPr="00AD6085">
        <w:rPr>
          <w:rFonts w:ascii="Tahoma" w:hAnsi="Tahoma" w:cs="Tahoma"/>
          <w:sz w:val="20"/>
          <w:szCs w:val="20"/>
        </w:rPr>
        <w:t xml:space="preserve">przewodów do istniejącego zadrzewienia roboty należy prowadzić </w:t>
      </w:r>
      <w:r w:rsidRPr="00AD6085">
        <w:rPr>
          <w:rFonts w:ascii="Tahoma" w:hAnsi="Tahoma" w:cs="Tahoma"/>
          <w:sz w:val="20"/>
          <w:szCs w:val="20"/>
        </w:rPr>
        <w:br/>
        <w:t>z zachowaniem ostrożności, w sposób opisany w ww. dokumencie.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color w:val="000000"/>
          <w:sz w:val="20"/>
        </w:rPr>
        <w:t>Wycinka drzew (</w:t>
      </w:r>
      <w:r w:rsidR="00E90328" w:rsidRPr="00AD6085">
        <w:rPr>
          <w:rFonts w:ascii="Tahoma" w:hAnsi="Tahoma" w:cs="Tahoma"/>
          <w:color w:val="000000"/>
          <w:sz w:val="20"/>
        </w:rPr>
        <w:t>2</w:t>
      </w:r>
      <w:r w:rsidRPr="00AD6085">
        <w:rPr>
          <w:rFonts w:ascii="Tahoma" w:hAnsi="Tahoma" w:cs="Tahoma"/>
          <w:color w:val="000000"/>
          <w:sz w:val="20"/>
        </w:rPr>
        <w:t xml:space="preserve"> </w:t>
      </w:r>
      <w:r w:rsidR="00E90328" w:rsidRPr="00AD6085">
        <w:rPr>
          <w:rFonts w:ascii="Tahoma" w:hAnsi="Tahoma" w:cs="Tahoma"/>
          <w:color w:val="000000"/>
          <w:sz w:val="20"/>
        </w:rPr>
        <w:t>s</w:t>
      </w:r>
      <w:r w:rsidRPr="00AD6085">
        <w:rPr>
          <w:rFonts w:ascii="Tahoma" w:hAnsi="Tahoma" w:cs="Tahoma"/>
          <w:color w:val="000000"/>
          <w:sz w:val="20"/>
        </w:rPr>
        <w:t>zt.)</w:t>
      </w:r>
      <w:r w:rsidR="00E90328" w:rsidRPr="00AD6085">
        <w:rPr>
          <w:rFonts w:ascii="Tahoma" w:hAnsi="Tahoma" w:cs="Tahoma"/>
          <w:color w:val="000000"/>
          <w:sz w:val="20"/>
        </w:rPr>
        <w:t xml:space="preserve"> oraz krzewów</w:t>
      </w:r>
      <w:r w:rsidRPr="00AD6085">
        <w:rPr>
          <w:rFonts w:ascii="Tahoma" w:hAnsi="Tahoma" w:cs="Tahoma"/>
          <w:color w:val="000000"/>
          <w:sz w:val="20"/>
        </w:rPr>
        <w:t xml:space="preserve"> na podstawie decyzji administracyjnej dostarczonej przez Zamawiającego</w:t>
      </w:r>
      <w:r w:rsidR="00E90328" w:rsidRPr="00AD6085">
        <w:rPr>
          <w:rFonts w:ascii="Tahoma" w:hAnsi="Tahoma" w:cs="Tahoma"/>
          <w:color w:val="000000"/>
          <w:sz w:val="20"/>
        </w:rPr>
        <w:t>.</w:t>
      </w:r>
      <w:r w:rsidRPr="00AD6085">
        <w:rPr>
          <w:rFonts w:ascii="Tahoma" w:hAnsi="Tahoma" w:cs="Tahoma"/>
          <w:color w:val="000000"/>
          <w:sz w:val="20"/>
        </w:rPr>
        <w:t xml:space="preserve"> 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  <w:lang w:eastAsia="ar-SA"/>
        </w:rPr>
        <w:t>Po zakończonych robotach uporządkowanie terenu budowy.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Udzielenie gwarancji na wszystkie roboty budowlano-montażowe, wbudowane urządzenia, programy itp. na okres 3 lat. Wykonawca zapewni przeprowadzenie przeglądów serwisowych pozwalających na utrzymanie warunków gwarancji urządzeń przez okres 3 lat. Warunki gwarancji opisano we wzorze karty gwarancyjnej.</w:t>
      </w:r>
    </w:p>
    <w:p w:rsidR="00414CEB" w:rsidRPr="00AD6085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Zapewnienie na własny koszt pełnej obsługi geodezyjnej tj. wykonanie wszelkich czynności geodezyjnych mających na celu prawidłowe usytuowanie budowanej sieci w terenie</w:t>
      </w:r>
      <w:r w:rsidRPr="00AD6085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Pr="00AD6085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Pr="00AD6085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Pr="00AD6085">
        <w:rPr>
          <w:rFonts w:ascii="Tahoma" w:hAnsi="Tahoma" w:cs="Tahoma"/>
          <w:color w:val="000000"/>
          <w:sz w:val="20"/>
          <w:szCs w:val="20"/>
        </w:rPr>
        <w:t>,</w:t>
      </w:r>
      <w:r w:rsidRPr="00AD6085">
        <w:rPr>
          <w:rFonts w:ascii="Tahoma" w:hAnsi="Tahoma" w:cs="Tahoma"/>
          <w:sz w:val="20"/>
          <w:szCs w:val="20"/>
        </w:rPr>
        <w:t xml:space="preserve"> w tym:</w:t>
      </w:r>
    </w:p>
    <w:p w:rsidR="00414CEB" w:rsidRPr="00AD6085" w:rsidRDefault="009F73F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414CEB" w:rsidRPr="00AD6085" w:rsidRDefault="009F73F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414CEB" w:rsidRPr="00AD6085" w:rsidRDefault="009F73F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przygotowanie</w:t>
      </w:r>
      <w:r w:rsidRPr="00AD6085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414CEB" w:rsidRDefault="009F73F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AD6085">
        <w:rPr>
          <w:rFonts w:ascii="Tahoma" w:hAnsi="Tahoma" w:cs="Tahoma"/>
          <w:sz w:val="20"/>
          <w:szCs w:val="20"/>
        </w:rPr>
        <w:t>w przypadku</w:t>
      </w:r>
      <w:r>
        <w:rPr>
          <w:rFonts w:ascii="Tahoma" w:hAnsi="Tahoma" w:cs="Tahoma"/>
          <w:sz w:val="20"/>
          <w:szCs w:val="20"/>
        </w:rPr>
        <w:t xml:space="preserve"> pozostawienia w gruncie nieczynnego przewodu, należy w dokumentacji odbiorowej dokonać stosownych wpisów lub oznaczeń potwierdzających, że przewód został wyłączony z eksploatacji;</w:t>
      </w:r>
    </w:p>
    <w:p w:rsidR="00414CEB" w:rsidRDefault="009F73F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odtworzenie istniejących i zniszczonych podczas realizacji zadania kamieni granicznych w pasie prowadzonych robót. Odtworzenie kamieni winno zostać potwierdzone protokolarnie przez geodetę;</w:t>
      </w:r>
    </w:p>
    <w:p w:rsidR="00414CEB" w:rsidRDefault="009F73F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>
        <w:rPr>
          <w:rFonts w:ascii="Tahoma" w:hAnsi="Tahoma" w:cs="Tahoma"/>
          <w:sz w:val="20"/>
          <w:szCs w:val="20"/>
        </w:rPr>
        <w:t>.</w:t>
      </w:r>
    </w:p>
    <w:p w:rsidR="00414CEB" w:rsidRPr="00661FCD" w:rsidRDefault="009F73F3" w:rsidP="00661FC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odkrycia przedmiotów, co do których istnieje przypuszczenie że mogą być </w:t>
      </w:r>
      <w:r>
        <w:rPr>
          <w:rFonts w:ascii="Tahoma" w:hAnsi="Tahoma" w:cs="Tahoma"/>
          <w:b/>
          <w:sz w:val="20"/>
          <w:szCs w:val="20"/>
          <w:u w:val="single"/>
        </w:rPr>
        <w:t>zabytkiem,</w:t>
      </w:r>
      <w:r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>
        <w:rPr>
          <w:rFonts w:ascii="Tahoma" w:hAnsi="Tahoma" w:cs="Tahoma"/>
          <w:sz w:val="20"/>
          <w:szCs w:val="20"/>
        </w:rPr>
        <w:t>Kuj-Pom</w:t>
      </w:r>
      <w:proofErr w:type="spellEnd"/>
      <w:r>
        <w:rPr>
          <w:rFonts w:ascii="Tahoma" w:hAnsi="Tahoma" w:cs="Tahoma"/>
          <w:sz w:val="20"/>
          <w:szCs w:val="20"/>
        </w:rPr>
        <w:t xml:space="preserve"> Woj. Konserwatora Zabytków</w:t>
      </w:r>
    </w:p>
    <w:p w:rsidR="00414CEB" w:rsidRPr="00E90328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90328">
        <w:rPr>
          <w:rFonts w:ascii="Tahoma" w:hAnsi="Tahoma" w:cs="Tahoma"/>
          <w:color w:val="000000"/>
          <w:sz w:val="20"/>
          <w:szCs w:val="20"/>
        </w:rPr>
        <w:t xml:space="preserve">Wymagania branży elektrycznej i </w:t>
      </w:r>
      <w:proofErr w:type="spellStart"/>
      <w:r w:rsidRPr="00E90328">
        <w:rPr>
          <w:rFonts w:ascii="Tahoma" w:hAnsi="Tahoma" w:cs="Tahoma"/>
          <w:color w:val="000000"/>
          <w:sz w:val="20"/>
          <w:szCs w:val="20"/>
        </w:rPr>
        <w:t>AKPiA</w:t>
      </w:r>
      <w:proofErr w:type="spellEnd"/>
      <w:r w:rsidRPr="00E90328">
        <w:rPr>
          <w:rFonts w:ascii="Tahoma" w:hAnsi="Tahoma" w:cs="Tahoma"/>
          <w:color w:val="000000"/>
          <w:sz w:val="20"/>
          <w:szCs w:val="20"/>
        </w:rPr>
        <w:t xml:space="preserve"> – zakres uszczegóławiający do dokumentacji projektowej.</w:t>
      </w:r>
    </w:p>
    <w:p w:rsidR="00414CEB" w:rsidRDefault="00414CEB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:rsidR="00414CEB" w:rsidRDefault="009F73F3">
      <w:pPr>
        <w:pStyle w:val="Akapitzlist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</w:t>
      </w:r>
      <w:r>
        <w:rPr>
          <w:rFonts w:ascii="Tahoma" w:hAnsi="Tahoma" w:cs="Arial"/>
          <w:bCs/>
          <w:iCs/>
          <w:sz w:val="20"/>
          <w:szCs w:val="20"/>
        </w:rPr>
        <w:t xml:space="preserve">ykonanie robót elektrycznych i z zakresu sterowania i automatyki </w:t>
      </w:r>
      <w:r w:rsidR="00E90328">
        <w:rPr>
          <w:rFonts w:ascii="Tahoma" w:hAnsi="Tahoma" w:cs="Arial"/>
          <w:bCs/>
          <w:iCs/>
          <w:sz w:val="20"/>
          <w:szCs w:val="20"/>
        </w:rPr>
        <w:t xml:space="preserve">– na podstawie dokumentacji </w:t>
      </w:r>
      <w:r>
        <w:rPr>
          <w:rFonts w:ascii="Tahoma" w:hAnsi="Tahoma" w:cs="Arial"/>
          <w:bCs/>
          <w:iCs/>
          <w:sz w:val="20"/>
          <w:szCs w:val="20"/>
        </w:rPr>
        <w:t xml:space="preserve"> projekt</w:t>
      </w:r>
      <w:r w:rsidR="00E90328">
        <w:rPr>
          <w:rFonts w:ascii="Tahoma" w:hAnsi="Tahoma" w:cs="Arial"/>
          <w:bCs/>
          <w:iCs/>
          <w:sz w:val="20"/>
          <w:szCs w:val="20"/>
        </w:rPr>
        <w:t>owej</w:t>
      </w:r>
      <w:r>
        <w:rPr>
          <w:rFonts w:ascii="Tahoma" w:hAnsi="Tahoma" w:cs="Arial"/>
          <w:bCs/>
          <w:iCs/>
          <w:sz w:val="20"/>
          <w:szCs w:val="20"/>
        </w:rPr>
        <w:t xml:space="preserve"> oraz poniższych wymagań:</w:t>
      </w:r>
    </w:p>
    <w:p w:rsidR="00414CEB" w:rsidRDefault="00414CEB">
      <w:pPr>
        <w:pStyle w:val="Akapitzlist"/>
        <w:ind w:left="426"/>
        <w:jc w:val="both"/>
        <w:rPr>
          <w:rFonts w:ascii="Tahoma" w:hAnsi="Tahoma" w:cs="Arial"/>
          <w:bCs/>
          <w:iCs/>
          <w:sz w:val="20"/>
          <w:szCs w:val="20"/>
        </w:rPr>
      </w:pPr>
    </w:p>
    <w:p w:rsidR="00485759" w:rsidRDefault="009F73F3" w:rsidP="00485759">
      <w:pPr>
        <w:pStyle w:val="Tekstpodstawowy"/>
        <w:numPr>
          <w:ilvl w:val="0"/>
          <w:numId w:val="12"/>
        </w:numPr>
        <w:tabs>
          <w:tab w:val="left" w:pos="683"/>
        </w:tabs>
        <w:jc w:val="both"/>
        <w:rPr>
          <w:rFonts w:ascii="Tahoma" w:hAnsi="Tahoma" w:cs="Arial"/>
          <w:bCs/>
          <w:iCs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Wymagania dotyczące układu zasilania przepompowni:</w:t>
      </w:r>
    </w:p>
    <w:p w:rsidR="00485759" w:rsidRDefault="00485759" w:rsidP="00485759">
      <w:pPr>
        <w:pStyle w:val="Akapitzlist"/>
        <w:numPr>
          <w:ilvl w:val="0"/>
          <w:numId w:val="5"/>
        </w:numPr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 xml:space="preserve">Wykonanie robót elektrycznych i 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AKPiA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tłoczni ścieków w Toruniu w ul. </w:t>
      </w:r>
      <w:r>
        <w:rPr>
          <w:rFonts w:ascii="Tahoma" w:eastAsia="TimesNewRomanPS-BoldItalicMT" w:hAnsi="Tahoma" w:cs="Arial"/>
          <w:sz w:val="20"/>
          <w:szCs w:val="20"/>
        </w:rPr>
        <w:t xml:space="preserve"> Lipowa</w:t>
      </w:r>
      <w:r>
        <w:rPr>
          <w:rFonts w:ascii="Tahoma" w:hAnsi="Tahoma" w:cs="Arial"/>
          <w:bCs/>
          <w:iCs/>
          <w:sz w:val="20"/>
          <w:szCs w:val="20"/>
        </w:rPr>
        <w:t xml:space="preserve"> zawiera montaż, uruchomienie, wykonanie oprogramowania, wizualizację, </w:t>
      </w:r>
    </w:p>
    <w:p w:rsidR="00485759" w:rsidRDefault="00485759" w:rsidP="00485759">
      <w:pPr>
        <w:pStyle w:val="Akapitzlist"/>
        <w:numPr>
          <w:ilvl w:val="0"/>
          <w:numId w:val="5"/>
        </w:numPr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po wykonaniu zadania należy przekazać dokumentację projektową powykonawczą, kopie oprogramowania w wersjach skompilowanej i źródłowej, oraz prawa autorskie do oprogramowania w zakresie dla przedmiotowej tłoczni.</w:t>
      </w:r>
    </w:p>
    <w:p w:rsidR="00485759" w:rsidRDefault="00485759" w:rsidP="00485759">
      <w:pPr>
        <w:pStyle w:val="Akapitzlist"/>
        <w:numPr>
          <w:ilvl w:val="0"/>
          <w:numId w:val="5"/>
        </w:numPr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 xml:space="preserve">roboty w branży elektrycznej i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AKPiA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należy wykonać zgodnie z standardami obowiązującymi w T.W.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Sp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z o.o. oraz zakresem zawartym w projektach branży elektrycznej i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AKPiA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.  </w:t>
      </w:r>
    </w:p>
    <w:p w:rsidR="00485759" w:rsidRDefault="00485759" w:rsidP="00485759">
      <w:pPr>
        <w:pStyle w:val="Akapitzlist"/>
        <w:numPr>
          <w:ilvl w:val="0"/>
          <w:numId w:val="5"/>
        </w:numPr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Należy przewidzieć kompensację mocy biernej (w projekcie nie przewidziano kompensacji) za pomocą odpowiednio dobranych kondensatorów dla silników pomp ścieków.</w:t>
      </w:r>
    </w:p>
    <w:p w:rsidR="00485759" w:rsidRDefault="00485759" w:rsidP="00485759">
      <w:pPr>
        <w:pStyle w:val="Akapitzlist"/>
        <w:numPr>
          <w:ilvl w:val="0"/>
          <w:numId w:val="5"/>
        </w:numPr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Oprawy w komorze tłoczni zmontować w ilości pozwalającej na uzyskanie średniego natężenia 200 lx.</w:t>
      </w:r>
    </w:p>
    <w:p w:rsidR="00485759" w:rsidRDefault="00485759" w:rsidP="00485759">
      <w:pPr>
        <w:pStyle w:val="Akapitzlist"/>
        <w:numPr>
          <w:ilvl w:val="0"/>
          <w:numId w:val="5"/>
        </w:numPr>
        <w:tabs>
          <w:tab w:val="left" w:pos="993"/>
        </w:tabs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 xml:space="preserve">Układ zasilania musi posiadać zabezpieczenie silników pomp przed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suchobiegiem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. </w:t>
      </w:r>
    </w:p>
    <w:p w:rsidR="00485759" w:rsidRDefault="00485759" w:rsidP="00485759">
      <w:pPr>
        <w:pStyle w:val="Akapitzlist"/>
        <w:numPr>
          <w:ilvl w:val="0"/>
          <w:numId w:val="5"/>
        </w:numPr>
        <w:tabs>
          <w:tab w:val="left" w:pos="993"/>
        </w:tabs>
        <w:ind w:left="993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Pompy tłoczni mają być sterowane w cyklu pracy automatycznej zgodnie z wytycznymi projektanta branży technologicznej. W komorze tłoczni należy wykonać sieć połączeń wyrównawczych dla wszystkich elementów wykonanych z materiałów przewodzących prąd elektryczny.</w:t>
      </w:r>
    </w:p>
    <w:p w:rsidR="00485759" w:rsidRDefault="00485759" w:rsidP="00485759">
      <w:pPr>
        <w:pStyle w:val="Tekstpodstawowy"/>
        <w:tabs>
          <w:tab w:val="left" w:pos="683"/>
        </w:tabs>
        <w:ind w:left="555"/>
        <w:jc w:val="both"/>
        <w:rPr>
          <w:rFonts w:ascii="Tahoma" w:hAnsi="Tahoma" w:cs="Arial"/>
          <w:bCs/>
          <w:iCs/>
          <w:sz w:val="20"/>
          <w:szCs w:val="20"/>
        </w:rPr>
      </w:pPr>
    </w:p>
    <w:p w:rsidR="00414CEB" w:rsidRPr="00485759" w:rsidRDefault="009F73F3" w:rsidP="00485759">
      <w:pPr>
        <w:pStyle w:val="Tekstpodstawowy"/>
        <w:numPr>
          <w:ilvl w:val="0"/>
          <w:numId w:val="12"/>
        </w:numPr>
        <w:tabs>
          <w:tab w:val="left" w:pos="683"/>
        </w:tabs>
        <w:jc w:val="both"/>
        <w:rPr>
          <w:rFonts w:ascii="Tahoma" w:hAnsi="Tahoma" w:cs="Arial"/>
          <w:bCs/>
          <w:iCs/>
          <w:sz w:val="20"/>
          <w:szCs w:val="20"/>
        </w:rPr>
      </w:pPr>
      <w:r w:rsidRPr="00485759">
        <w:rPr>
          <w:rFonts w:ascii="Tahoma" w:hAnsi="Tahoma" w:cs="Arial"/>
          <w:bCs/>
          <w:iCs/>
          <w:sz w:val="20"/>
          <w:szCs w:val="20"/>
        </w:rPr>
        <w:t>Wymagania dotyczące układu sterowania i wizualizacji przepompowni:</w:t>
      </w:r>
    </w:p>
    <w:p w:rsidR="00414CEB" w:rsidRDefault="009F73F3" w:rsidP="00BB7FBB">
      <w:pPr>
        <w:pStyle w:val="Tekstpodstawowy"/>
        <w:jc w:val="both"/>
        <w:rPr>
          <w:rFonts w:ascii="Tahoma" w:hAnsi="Tahoma" w:cs="Arial"/>
          <w:bCs/>
          <w:iCs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 xml:space="preserve">Sterowanie główne powinno zostać oparte na bazie sterownika programowalnego (np. Schneider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Modicon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M340 w wersji P-34-1000), wraz z panelem operatorskim (np.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Astraada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AS45TFT0403), moduł komunikacyjny GPRS (np. </w:t>
      </w:r>
      <w:proofErr w:type="spellStart"/>
      <w:r>
        <w:rPr>
          <w:rFonts w:ascii="Tahoma" w:hAnsi="Tahoma" w:cs="Arial"/>
          <w:bCs/>
          <w:iCs/>
          <w:sz w:val="20"/>
          <w:szCs w:val="20"/>
        </w:rPr>
        <w:t>InVentia</w:t>
      </w:r>
      <w:proofErr w:type="spellEnd"/>
      <w:r>
        <w:rPr>
          <w:rFonts w:ascii="Tahoma" w:hAnsi="Tahoma" w:cs="Arial"/>
          <w:bCs/>
          <w:iCs/>
          <w:sz w:val="20"/>
          <w:szCs w:val="20"/>
        </w:rPr>
        <w:t xml:space="preserve"> MTX-2050), oraz analizatorem sieciowym energii elektrycznej (np. SELEC). Kartę SIM pracującą w wewnętrznym APN należącym do TW dostarcza Zamawiający. Antenę modemu GSM należy zamontować tak, aby moc sygnału GSM, niezależnie od warunków pogodowych, była zawsze powyżej 85% dla komunikacji 2G.</w:t>
      </w:r>
    </w:p>
    <w:p w:rsidR="00414CEB" w:rsidRDefault="009F73F3" w:rsidP="00BB7FBB">
      <w:pPr>
        <w:pStyle w:val="Tekstpodstawowy"/>
        <w:spacing w:after="20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Wszelkie zastosowane w rozdzielni urządzenia sieciowe (np. </w:t>
      </w:r>
      <w:proofErr w:type="spellStart"/>
      <w:r>
        <w:rPr>
          <w:rFonts w:ascii="Tahoma" w:hAnsi="Tahoma"/>
          <w:sz w:val="20"/>
          <w:szCs w:val="20"/>
        </w:rPr>
        <w:t>switche</w:t>
      </w:r>
      <w:proofErr w:type="spellEnd"/>
      <w:r>
        <w:rPr>
          <w:rFonts w:ascii="Tahoma" w:hAnsi="Tahoma"/>
          <w:sz w:val="20"/>
          <w:szCs w:val="20"/>
        </w:rPr>
        <w:t>) muszą być typu przemysłowego, z możliwością zdalnego zarządzania, przystosowane do pracy w zakresie temperatur co najmniej od 0°C do 60°C.</w:t>
      </w:r>
    </w:p>
    <w:p w:rsidR="00414CEB" w:rsidRDefault="009F73F3" w:rsidP="00BB7FBB">
      <w:pPr>
        <w:pStyle w:val="Tekstpodstawowy"/>
        <w:spacing w:after="20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użytych w nawiasach nazw własnych materiałów, nazw producentów i znaków towarowych, należy je rozumieć jako określenie standardów w Toruńskich Wodociągach. Nie są one wiążące i można dostarczyć urządzenia równoważne, innych producentów, których charakterystyka i parametry nie są gorsze, niż urządzeń podanych powyżej.</w:t>
      </w:r>
    </w:p>
    <w:p w:rsidR="00414CEB" w:rsidRDefault="009F73F3" w:rsidP="00BB7FBB">
      <w:pPr>
        <w:pStyle w:val="Tekstpodstawowy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dostarczenia innego sterownika lub panelu operatorskiego, niż wskazane w nawiasach, Wykonawca zobowiązany jest dostarczyć Zamawiającemu:</w:t>
      </w:r>
    </w:p>
    <w:p w:rsidR="00414CEB" w:rsidRDefault="009F73F3" w:rsidP="00BB7FBB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 najmniej 5-cio dniowe szkolenie w autoryzowanym centrum szkoleniowym z obsługi i programowania sterownika i panelu; </w:t>
      </w:r>
    </w:p>
    <w:p w:rsidR="00414CEB" w:rsidRDefault="009F73F3" w:rsidP="00E90328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zapasowy sterownik wraz z modułami wejść/wyjść, oraz panel operatorski; </w:t>
      </w:r>
    </w:p>
    <w:p w:rsidR="00414CEB" w:rsidRDefault="009F73F3" w:rsidP="00BB7FBB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laptop przemysłowy wraz z oprogramowaniem z licencją bezterminową do obsługi i programowania sterownika i panelu; </w:t>
      </w:r>
    </w:p>
    <w:p w:rsidR="00414CEB" w:rsidRDefault="009F73F3" w:rsidP="00E90328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licencję na system operacyjny z rodziny Microsoft w wersji Professional. </w:t>
      </w:r>
    </w:p>
    <w:p w:rsidR="00414CEB" w:rsidRDefault="009F73F3" w:rsidP="00BB7FBB">
      <w:pPr>
        <w:pStyle w:val="Tekstpodstawowy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dostarczenia innego modułu komunikacyjnego GPRS, niż wskazany w nawiasie, Wykonawca zobowiązany jest dostarczyć Zamawiającemu:</w:t>
      </w:r>
    </w:p>
    <w:p w:rsidR="00414CEB" w:rsidRDefault="009F73F3" w:rsidP="00E90328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szkolenie w autoryzowanym centrum szkoleniowym z obsługi i programowania modułu; </w:t>
      </w:r>
    </w:p>
    <w:p w:rsidR="00414CEB" w:rsidRDefault="009F73F3" w:rsidP="00E90328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zapasowy nowy moduł; </w:t>
      </w:r>
    </w:p>
    <w:p w:rsidR="00414CEB" w:rsidRDefault="009F73F3" w:rsidP="00E90328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licencję na serwer OPC, przy pomocy którego zostaną udostępnione dane; </w:t>
      </w:r>
    </w:p>
    <w:p w:rsidR="00414CEB" w:rsidRDefault="009F73F3" w:rsidP="00E90328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nowy serwer wraz z licencją bezterminową do obsługi i programowania modułu; </w:t>
      </w:r>
    </w:p>
    <w:p w:rsidR="00414CEB" w:rsidRDefault="009F73F3" w:rsidP="00E90328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konfiguracja serwera: 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>obudowa typu RACK do mont</w:t>
      </w:r>
      <w:r>
        <w:rPr>
          <w:rFonts w:ascii="Tahoma" w:hAnsi="Tahoma"/>
          <w:sz w:val="20"/>
          <w:szCs w:val="20"/>
        </w:rPr>
        <w:t>ażu w szafie 19’’ wielkości 1U;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 xml:space="preserve">minimum 2 dyski typu hot </w:t>
      </w:r>
      <w:proofErr w:type="spellStart"/>
      <w:r w:rsidR="009F73F3">
        <w:rPr>
          <w:rFonts w:ascii="Tahoma" w:hAnsi="Tahoma"/>
          <w:sz w:val="20"/>
          <w:szCs w:val="20"/>
        </w:rPr>
        <w:t>swap</w:t>
      </w:r>
      <w:proofErr w:type="spellEnd"/>
      <w:r w:rsidR="009F73F3">
        <w:rPr>
          <w:rFonts w:ascii="Tahoma" w:hAnsi="Tahoma"/>
          <w:sz w:val="20"/>
          <w:szCs w:val="20"/>
        </w:rPr>
        <w:t xml:space="preserve"> w konfiguracji </w:t>
      </w:r>
      <w:proofErr w:type="spellStart"/>
      <w:r w:rsidR="009F73F3">
        <w:rPr>
          <w:rFonts w:ascii="Tahoma" w:hAnsi="Tahoma"/>
          <w:sz w:val="20"/>
          <w:szCs w:val="20"/>
        </w:rPr>
        <w:t>Raid</w:t>
      </w:r>
      <w:proofErr w:type="spellEnd"/>
      <w:r w:rsidR="009F73F3">
        <w:rPr>
          <w:rFonts w:ascii="Tahoma" w:hAnsi="Tahoma"/>
          <w:sz w:val="20"/>
          <w:szCs w:val="20"/>
        </w:rPr>
        <w:t xml:space="preserve"> 1; 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 xml:space="preserve">minimum 2 zasilacze zapewniające redundancję zasilania; 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 xml:space="preserve">konfiguracja zalecana przez producenta systemu operacyjnego, oraz oprogramowania modułu; 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 xml:space="preserve">licencja na system operacyjny na bezterminowe użytkowanie; </w:t>
      </w:r>
    </w:p>
    <w:p w:rsidR="00414CEB" w:rsidRDefault="00BB7FBB" w:rsidP="00BB7FBB">
      <w:pPr>
        <w:pStyle w:val="Tekstpodstawowy"/>
        <w:spacing w:after="0" w:line="276" w:lineRule="auto"/>
        <w:ind w:left="85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 w:rsidR="009F73F3">
        <w:rPr>
          <w:rFonts w:ascii="Tahoma" w:hAnsi="Tahoma"/>
          <w:sz w:val="20"/>
          <w:szCs w:val="20"/>
        </w:rPr>
        <w:t xml:space="preserve">gwarancja producenta na 3 lata. </w:t>
      </w:r>
    </w:p>
    <w:p w:rsidR="00414CEB" w:rsidRDefault="009F73F3" w:rsidP="00485759">
      <w:pPr>
        <w:pStyle w:val="Tekstpodstawowy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/>
        <w:t>Należy uruchomić instalację monitoringu GSM po protok</w:t>
      </w:r>
      <w:r w:rsidR="00BB7FBB"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le </w:t>
      </w:r>
      <w:proofErr w:type="spellStart"/>
      <w:r>
        <w:rPr>
          <w:rFonts w:ascii="Tahoma" w:hAnsi="Tahoma"/>
          <w:sz w:val="20"/>
          <w:szCs w:val="20"/>
        </w:rPr>
        <w:t>Modbus</w:t>
      </w:r>
      <w:proofErr w:type="spellEnd"/>
      <w:r>
        <w:rPr>
          <w:rFonts w:ascii="Tahoma" w:hAnsi="Tahoma"/>
          <w:sz w:val="20"/>
          <w:szCs w:val="20"/>
        </w:rPr>
        <w:t xml:space="preserve"> RTU pomiędzy sterownikiem przepompowni a serwerem znajdującym się w budynku biurowym przy ul. Rybaki 31/35. Wykonany monitoring musi pozwalać obsłudze Centrum na podgląd wszelkich danych z tłoczni z częstotliwością ok. 1 min poprzez aplikacje </w:t>
      </w:r>
      <w:proofErr w:type="spellStart"/>
      <w:r>
        <w:rPr>
          <w:rFonts w:ascii="Tahoma" w:hAnsi="Tahoma"/>
          <w:sz w:val="20"/>
          <w:szCs w:val="20"/>
        </w:rPr>
        <w:t>InTouch</w:t>
      </w:r>
      <w:proofErr w:type="spellEnd"/>
      <w:r>
        <w:rPr>
          <w:rFonts w:ascii="Tahoma" w:hAnsi="Tahoma"/>
          <w:sz w:val="20"/>
          <w:szCs w:val="20"/>
        </w:rPr>
        <w:t xml:space="preserve"> i </w:t>
      </w:r>
      <w:proofErr w:type="spellStart"/>
      <w:r>
        <w:rPr>
          <w:rFonts w:ascii="Tahoma" w:hAnsi="Tahoma"/>
          <w:sz w:val="20"/>
          <w:szCs w:val="20"/>
        </w:rPr>
        <w:t>Information</w:t>
      </w:r>
      <w:proofErr w:type="spellEnd"/>
      <w:r>
        <w:rPr>
          <w:rFonts w:ascii="Tahoma" w:hAnsi="Tahoma"/>
          <w:sz w:val="20"/>
          <w:szCs w:val="20"/>
        </w:rPr>
        <w:t xml:space="preserve"> Server Portal oraz archiwizację danych na serwerze </w:t>
      </w:r>
      <w:proofErr w:type="spellStart"/>
      <w:r>
        <w:rPr>
          <w:rFonts w:ascii="Tahoma" w:hAnsi="Tahoma"/>
          <w:sz w:val="20"/>
          <w:szCs w:val="20"/>
        </w:rPr>
        <w:t>Historian</w:t>
      </w:r>
      <w:proofErr w:type="spellEnd"/>
      <w:r>
        <w:rPr>
          <w:rFonts w:ascii="Tahoma" w:hAnsi="Tahoma"/>
          <w:sz w:val="20"/>
          <w:szCs w:val="20"/>
        </w:rPr>
        <w:t xml:space="preserve">. Zmienne, które mają być przechowywane w </w:t>
      </w:r>
      <w:proofErr w:type="spellStart"/>
      <w:r>
        <w:rPr>
          <w:rFonts w:ascii="Tahoma" w:hAnsi="Tahoma"/>
          <w:sz w:val="20"/>
          <w:szCs w:val="20"/>
        </w:rPr>
        <w:t>Historianie</w:t>
      </w:r>
      <w:proofErr w:type="spellEnd"/>
      <w:r>
        <w:rPr>
          <w:rFonts w:ascii="Tahoma" w:hAnsi="Tahoma"/>
          <w:sz w:val="20"/>
          <w:szCs w:val="20"/>
        </w:rPr>
        <w:t xml:space="preserve">, należy uzgodnić z działem FIA Toruńskich Wodociągów. Konieczna jest weryfikacja raportów generowanych przy pomocy oprogramowania </w:t>
      </w:r>
      <w:proofErr w:type="spellStart"/>
      <w:r>
        <w:rPr>
          <w:rFonts w:ascii="Tahoma" w:hAnsi="Tahoma"/>
          <w:sz w:val="20"/>
          <w:szCs w:val="20"/>
        </w:rPr>
        <w:t>Active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Factory</w:t>
      </w:r>
      <w:proofErr w:type="spellEnd"/>
      <w:r>
        <w:rPr>
          <w:rFonts w:ascii="Tahoma" w:hAnsi="Tahoma"/>
          <w:sz w:val="20"/>
          <w:szCs w:val="20"/>
        </w:rPr>
        <w:t xml:space="preserve"> pod kontem wykorzystania nowych zmiennych. Dodatkowo należy zaktualizować system powiadomienia o włamaniu o nowy obiekt w siedzibie firmy ochroniarskiej </w:t>
      </w:r>
      <w:proofErr w:type="spellStart"/>
      <w:r>
        <w:rPr>
          <w:rFonts w:ascii="Tahoma" w:hAnsi="Tahoma"/>
          <w:sz w:val="20"/>
          <w:szCs w:val="20"/>
        </w:rPr>
        <w:t>Konsalnet</w:t>
      </w:r>
      <w:proofErr w:type="spellEnd"/>
      <w:r>
        <w:rPr>
          <w:rFonts w:ascii="Tahoma" w:hAnsi="Tahoma"/>
          <w:sz w:val="20"/>
          <w:szCs w:val="20"/>
        </w:rPr>
        <w:t xml:space="preserve"> Toruń. Ekrany synoptyczne </w:t>
      </w:r>
      <w:proofErr w:type="spellStart"/>
      <w:r>
        <w:rPr>
          <w:rFonts w:ascii="Tahoma" w:hAnsi="Tahoma"/>
          <w:sz w:val="20"/>
          <w:szCs w:val="20"/>
        </w:rPr>
        <w:t>Scady</w:t>
      </w:r>
      <w:proofErr w:type="spellEnd"/>
      <w:r>
        <w:rPr>
          <w:rFonts w:ascii="Tahoma" w:hAnsi="Tahoma"/>
          <w:sz w:val="20"/>
          <w:szCs w:val="20"/>
        </w:rPr>
        <w:t xml:space="preserve"> tj. wygląd okien, diagramy, alarmy oraz archiwizację danych należy wykonać zgodnie z zastanym w aplikacji standardem. Po zakończeniu prac należy przekazać Zamawiającemu, aktualne kopie oprogramowania w wersjach źródłowych (edytowalnych) dla sterownika, panelu operatorskiego i modułu komunikacyjnego GPRS, oraz dla wizualizacji </w:t>
      </w:r>
      <w:proofErr w:type="spellStart"/>
      <w:r>
        <w:rPr>
          <w:rFonts w:ascii="Tahoma" w:hAnsi="Tahoma"/>
          <w:sz w:val="20"/>
          <w:szCs w:val="20"/>
        </w:rPr>
        <w:t>InTouch</w:t>
      </w:r>
      <w:proofErr w:type="spellEnd"/>
      <w:r>
        <w:rPr>
          <w:rFonts w:ascii="Tahoma" w:hAnsi="Tahoma"/>
          <w:sz w:val="20"/>
          <w:szCs w:val="20"/>
        </w:rPr>
        <w:t xml:space="preserve"> i </w:t>
      </w:r>
      <w:proofErr w:type="spellStart"/>
      <w:r>
        <w:rPr>
          <w:rFonts w:ascii="Tahoma" w:hAnsi="Tahoma"/>
          <w:sz w:val="20"/>
          <w:szCs w:val="20"/>
        </w:rPr>
        <w:t>Information</w:t>
      </w:r>
      <w:proofErr w:type="spellEnd"/>
      <w:r>
        <w:rPr>
          <w:rFonts w:ascii="Tahoma" w:hAnsi="Tahoma"/>
          <w:sz w:val="20"/>
          <w:szCs w:val="20"/>
        </w:rPr>
        <w:t xml:space="preserve"> Server Portal. Oprogramowanie, jak również pojedyncze bloki programowe, nie mogą być zabezpieczone hasłami. Jeżeli podczas prac konieczna będzie zmiana oprogramowania systemowego (np. narzędziowego, licencyjnego lub </w:t>
      </w:r>
      <w:proofErr w:type="spellStart"/>
      <w:r>
        <w:rPr>
          <w:rFonts w:ascii="Tahoma" w:hAnsi="Tahoma"/>
          <w:sz w:val="20"/>
          <w:szCs w:val="20"/>
        </w:rPr>
        <w:t>firmware</w:t>
      </w:r>
      <w:proofErr w:type="spellEnd"/>
      <w:r>
        <w:rPr>
          <w:rFonts w:ascii="Tahoma" w:hAnsi="Tahoma"/>
          <w:sz w:val="20"/>
          <w:szCs w:val="20"/>
        </w:rPr>
        <w:t>) posiadanego przez Zamawiającego na nowszą lub inną wersję, Wykonawca dostarczy i uwzględni koszt nowej wersji w cenie za realizację zamówienia. Aktualizacja oprogramowania musi być zgodna ze standardem już obecnym. Wszelkie trendy, systemy raportowania muszą być zgodne z już istniejącym systemem (dotyczy funkcjonalności oraz wyglądu). Należy również przekazać dokumentację powykonawczą w wersji elektronicznej, edytowalnej, oraz wszelkie pliki konfiguracyjne urządzeń komunikacyjnych (adresacja, konfiguracja, hasła dostępu). Weryfikacja, odbędzie się w formie komisyjnego wgrania oprogramowania przez wykonawcę, przy obecności osoby wyznaczonej przez TW. Ponadto Wykonawca przekaże, na rzecz Zamawiającego, autorskie prawa majątkowe do: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oprogramowania na sterownik Schneider </w:t>
      </w:r>
      <w:proofErr w:type="spellStart"/>
      <w:r>
        <w:rPr>
          <w:rFonts w:ascii="Tahoma" w:hAnsi="Tahoma"/>
          <w:sz w:val="20"/>
          <w:szCs w:val="20"/>
        </w:rPr>
        <w:t>Modicon</w:t>
      </w:r>
      <w:proofErr w:type="spellEnd"/>
      <w:r>
        <w:rPr>
          <w:rFonts w:ascii="Tahoma" w:hAnsi="Tahoma"/>
          <w:sz w:val="20"/>
          <w:szCs w:val="20"/>
        </w:rPr>
        <w:t xml:space="preserve"> M340,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oprogramowania na panel operatorski </w:t>
      </w:r>
      <w:proofErr w:type="spellStart"/>
      <w:r>
        <w:rPr>
          <w:rFonts w:ascii="Tahoma" w:hAnsi="Tahoma"/>
          <w:sz w:val="20"/>
          <w:szCs w:val="20"/>
        </w:rPr>
        <w:t>Astraada</w:t>
      </w:r>
      <w:proofErr w:type="spellEnd"/>
      <w:r>
        <w:rPr>
          <w:rFonts w:ascii="Tahoma" w:hAnsi="Tahoma"/>
          <w:sz w:val="20"/>
          <w:szCs w:val="20"/>
        </w:rPr>
        <w:t xml:space="preserve">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oprogramowania na moduł komunikacyjny GPRS,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oprogramowania na wizualizację na Pogotowiu Toruńskich Wodociągów</w:t>
      </w:r>
      <w:r w:rsidR="00485759">
        <w:rPr>
          <w:rFonts w:ascii="Tahoma" w:hAnsi="Tahoma"/>
          <w:sz w:val="20"/>
          <w:szCs w:val="20"/>
        </w:rPr>
        <w:t xml:space="preserve"> Sp. z o.o.</w:t>
      </w:r>
      <w:r>
        <w:rPr>
          <w:rFonts w:ascii="Tahoma" w:hAnsi="Tahoma"/>
          <w:sz w:val="20"/>
          <w:szCs w:val="20"/>
        </w:rPr>
        <w:t xml:space="preserve">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oprogramowania na wizualizację dla Portalu </w:t>
      </w:r>
      <w:proofErr w:type="spellStart"/>
      <w:r>
        <w:rPr>
          <w:rFonts w:ascii="Tahoma" w:hAnsi="Tahoma"/>
          <w:sz w:val="20"/>
          <w:szCs w:val="20"/>
        </w:rPr>
        <w:t>Information</w:t>
      </w:r>
      <w:proofErr w:type="spellEnd"/>
      <w:r>
        <w:rPr>
          <w:rFonts w:ascii="Tahoma" w:hAnsi="Tahoma"/>
          <w:sz w:val="20"/>
          <w:szCs w:val="20"/>
        </w:rPr>
        <w:t xml:space="preserve"> Server,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oprogramowania na archiwizację danych na serwerze </w:t>
      </w:r>
      <w:proofErr w:type="spellStart"/>
      <w:r>
        <w:rPr>
          <w:rFonts w:ascii="Tahoma" w:hAnsi="Tahoma"/>
          <w:sz w:val="20"/>
          <w:szCs w:val="20"/>
        </w:rPr>
        <w:t>Historian</w:t>
      </w:r>
      <w:proofErr w:type="spellEnd"/>
      <w:r>
        <w:rPr>
          <w:rFonts w:ascii="Tahoma" w:hAnsi="Tahoma"/>
          <w:sz w:val="20"/>
          <w:szCs w:val="20"/>
        </w:rPr>
        <w:t xml:space="preserve">, </w:t>
      </w:r>
    </w:p>
    <w:p w:rsidR="00414CEB" w:rsidRDefault="009F73F3" w:rsidP="00E90328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dokumentacji w wersji elektronicznej i edytowalnej. </w:t>
      </w:r>
    </w:p>
    <w:p w:rsidR="00485759" w:rsidRDefault="009F73F3" w:rsidP="00485759">
      <w:pPr>
        <w:pStyle w:val="Tekstpodstawowy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Adresację stacji oraz ustalenie poziomu zabezpieczeń należy wykonać w uzgodnieniu z Działem Informatyki i Automatyki (FIA) Toruńskich Wodocią</w:t>
      </w:r>
      <w:r w:rsidR="00485759">
        <w:rPr>
          <w:rFonts w:ascii="Tahoma" w:hAnsi="Tahoma"/>
          <w:sz w:val="20"/>
          <w:szCs w:val="20"/>
        </w:rPr>
        <w:t>gów.</w:t>
      </w:r>
    </w:p>
    <w:p w:rsidR="00414CEB" w:rsidRDefault="009F73F3" w:rsidP="00485759">
      <w:pPr>
        <w:pStyle w:val="Tekstpodstawowy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br/>
        <w:t xml:space="preserve">Ze sterownika przepompowni musi być możliwość odczytu co najmniej poniższych sygnałów (odczyt miejscowy z panelu </w:t>
      </w:r>
      <w:proofErr w:type="spellStart"/>
      <w:r>
        <w:rPr>
          <w:rFonts w:ascii="Tahoma" w:hAnsi="Tahoma"/>
          <w:sz w:val="20"/>
          <w:szCs w:val="20"/>
        </w:rPr>
        <w:t>Astraada</w:t>
      </w:r>
      <w:proofErr w:type="spellEnd"/>
      <w:r>
        <w:rPr>
          <w:rFonts w:ascii="Tahoma" w:hAnsi="Tahoma"/>
          <w:sz w:val="20"/>
          <w:szCs w:val="20"/>
        </w:rPr>
        <w:t>, oraz zdalny - SCADA):</w:t>
      </w:r>
    </w:p>
    <w:p w:rsidR="00414CEB" w:rsidRDefault="009F73F3" w:rsidP="00485759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Przepływ ścieków chwilowy z każdego przepływomierza, </w:t>
      </w:r>
    </w:p>
    <w:p w:rsidR="00414CEB" w:rsidRDefault="009F73F3" w:rsidP="00485759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Sumaryczna ilość przepompowanych ścieków 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Poziom ś</w:t>
      </w:r>
      <w:r w:rsidR="00485759">
        <w:rPr>
          <w:rFonts w:ascii="Tahoma" w:hAnsi="Tahoma"/>
          <w:sz w:val="20"/>
          <w:szCs w:val="20"/>
        </w:rPr>
        <w:t>cieków minimum,</w:t>
      </w:r>
    </w:p>
    <w:p w:rsidR="00414CEB" w:rsidRDefault="00485759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Poziom ścieków </w:t>
      </w:r>
      <w:proofErr w:type="spellStart"/>
      <w:r>
        <w:rPr>
          <w:rFonts w:ascii="Tahoma" w:hAnsi="Tahoma"/>
          <w:sz w:val="20"/>
          <w:szCs w:val="20"/>
        </w:rPr>
        <w:t>maximum</w:t>
      </w:r>
      <w:proofErr w:type="spellEnd"/>
      <w:r>
        <w:rPr>
          <w:rFonts w:ascii="Tahoma" w:hAnsi="Tahoma"/>
          <w:sz w:val="20"/>
          <w:szCs w:val="20"/>
        </w:rPr>
        <w:t>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Czas pracy </w:t>
      </w:r>
      <w:r w:rsidR="00485759">
        <w:rPr>
          <w:rFonts w:ascii="Tahoma" w:hAnsi="Tahoma"/>
          <w:sz w:val="20"/>
          <w:szCs w:val="20"/>
        </w:rPr>
        <w:t>pomp – dla każdej pompy osobno,</w:t>
      </w:r>
    </w:p>
    <w:p w:rsidR="00414CEB" w:rsidRPr="00A40394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 w:rsidRPr="00A40394">
        <w:rPr>
          <w:rFonts w:ascii="Tahoma" w:hAnsi="Tahoma"/>
          <w:sz w:val="20"/>
          <w:szCs w:val="20"/>
        </w:rPr>
        <w:t xml:space="preserve">Ilość załączeń całkowita </w:t>
      </w:r>
      <w:r w:rsidR="00485759" w:rsidRPr="00A40394">
        <w:rPr>
          <w:rFonts w:ascii="Tahoma" w:hAnsi="Tahoma"/>
          <w:sz w:val="20"/>
          <w:szCs w:val="20"/>
        </w:rPr>
        <w:t>pomp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Ilość załączeń pomp w bieżącej godz</w:t>
      </w:r>
      <w:r w:rsidR="00485759">
        <w:rPr>
          <w:rFonts w:ascii="Tahoma" w:hAnsi="Tahoma"/>
          <w:sz w:val="20"/>
          <w:szCs w:val="20"/>
        </w:rPr>
        <w:t>inie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Ilość załączeń pomp w poprzedniej godzinie –</w:t>
      </w:r>
      <w:r w:rsidR="00485759">
        <w:rPr>
          <w:rFonts w:ascii="Tahoma" w:hAnsi="Tahoma"/>
          <w:sz w:val="20"/>
          <w:szCs w:val="20"/>
        </w:rPr>
        <w:t xml:space="preserve">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Ilość załączeń pomp w bieżącej d</w:t>
      </w:r>
      <w:r w:rsidR="00485759">
        <w:rPr>
          <w:rFonts w:ascii="Tahoma" w:hAnsi="Tahoma"/>
          <w:sz w:val="20"/>
          <w:szCs w:val="20"/>
        </w:rPr>
        <w:t>obie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Ilość załączeń pomp w poprzedniej d</w:t>
      </w:r>
      <w:r w:rsidR="00485759">
        <w:rPr>
          <w:rFonts w:ascii="Tahoma" w:hAnsi="Tahoma"/>
          <w:sz w:val="20"/>
          <w:szCs w:val="20"/>
        </w:rPr>
        <w:t>obie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Aktualny </w:t>
      </w:r>
      <w:r w:rsidR="00485759">
        <w:rPr>
          <w:rFonts w:ascii="Tahoma" w:hAnsi="Tahoma"/>
          <w:sz w:val="20"/>
          <w:szCs w:val="20"/>
        </w:rPr>
        <w:t>stan napełnienia w [m] lub [%],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Informacje z analizatora sieciowego SELEC (prądy: I1, I2, I3, napięcia: V1N,</w:t>
      </w:r>
      <w:r w:rsidR="00485759">
        <w:rPr>
          <w:rFonts w:ascii="Tahoma" w:hAnsi="Tahoma"/>
          <w:sz w:val="20"/>
          <w:szCs w:val="20"/>
        </w:rPr>
        <w:t xml:space="preserve"> V2N, V3N, oraz </w:t>
      </w:r>
      <w:proofErr w:type="spellStart"/>
      <w:r w:rsidR="00485759">
        <w:rPr>
          <w:rFonts w:ascii="Tahoma" w:hAnsi="Tahoma"/>
          <w:sz w:val="20"/>
          <w:szCs w:val="20"/>
        </w:rPr>
        <w:t>kW</w:t>
      </w:r>
      <w:proofErr w:type="spellEnd"/>
      <w:r w:rsidR="00485759">
        <w:rPr>
          <w:rFonts w:ascii="Tahoma" w:hAnsi="Tahoma"/>
          <w:sz w:val="20"/>
          <w:szCs w:val="20"/>
        </w:rPr>
        <w:t xml:space="preserve">, </w:t>
      </w:r>
      <w:proofErr w:type="spellStart"/>
      <w:r w:rsidR="00485759">
        <w:rPr>
          <w:rFonts w:ascii="Tahoma" w:hAnsi="Tahoma"/>
          <w:sz w:val="20"/>
          <w:szCs w:val="20"/>
        </w:rPr>
        <w:t>kVA</w:t>
      </w:r>
      <w:proofErr w:type="spellEnd"/>
      <w:r w:rsidR="00485759">
        <w:rPr>
          <w:rFonts w:ascii="Tahoma" w:hAnsi="Tahoma"/>
          <w:sz w:val="20"/>
          <w:szCs w:val="20"/>
        </w:rPr>
        <w:t xml:space="preserve">, </w:t>
      </w:r>
      <w:proofErr w:type="spellStart"/>
      <w:r w:rsidR="00485759">
        <w:rPr>
          <w:rFonts w:ascii="Tahoma" w:hAnsi="Tahoma"/>
          <w:sz w:val="20"/>
          <w:szCs w:val="20"/>
        </w:rPr>
        <w:t>kVar</w:t>
      </w:r>
      <w:proofErr w:type="spellEnd"/>
      <w:r w:rsidR="00485759">
        <w:rPr>
          <w:rFonts w:ascii="Tahoma" w:hAnsi="Tahoma"/>
          <w:sz w:val="20"/>
          <w:szCs w:val="20"/>
        </w:rPr>
        <w:t>),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Awaria p</w:t>
      </w:r>
      <w:r w:rsidR="00485759">
        <w:rPr>
          <w:rFonts w:ascii="Tahoma" w:hAnsi="Tahoma"/>
          <w:sz w:val="20"/>
          <w:szCs w:val="20"/>
        </w:rPr>
        <w:t>ompy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Praca p</w:t>
      </w:r>
      <w:r w:rsidR="00485759">
        <w:rPr>
          <w:rFonts w:ascii="Tahoma" w:hAnsi="Tahoma"/>
          <w:sz w:val="20"/>
          <w:szCs w:val="20"/>
        </w:rPr>
        <w:t>ompy – dla każdej pompy osobno,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Sygnalizacja stanu pomp (tryb automatyczny</w:t>
      </w:r>
      <w:r w:rsidR="00485759">
        <w:rPr>
          <w:rFonts w:ascii="Tahoma" w:hAnsi="Tahoma"/>
          <w:sz w:val="20"/>
          <w:szCs w:val="20"/>
        </w:rPr>
        <w:t>/załączenie ręczne/odstawienie),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Sygnał o</w:t>
      </w:r>
      <w:r w:rsidR="00485759">
        <w:rPr>
          <w:rFonts w:ascii="Tahoma" w:hAnsi="Tahoma"/>
          <w:sz w:val="20"/>
          <w:szCs w:val="20"/>
        </w:rPr>
        <w:t>becności człowieka na obiekcie,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Sygna</w:t>
      </w:r>
      <w:r w:rsidR="00485759">
        <w:rPr>
          <w:rFonts w:ascii="Tahoma" w:hAnsi="Tahoma"/>
          <w:sz w:val="20"/>
          <w:szCs w:val="20"/>
        </w:rPr>
        <w:t>lizacja zasilania podstawowego,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Zanik napięcia (zadziałanie ukła</w:t>
      </w:r>
      <w:r w:rsidR="00485759">
        <w:rPr>
          <w:rFonts w:ascii="Tahoma" w:hAnsi="Tahoma"/>
          <w:sz w:val="20"/>
          <w:szCs w:val="20"/>
        </w:rPr>
        <w:t>du SZR z sygnalizacją powrotu),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Sygnal</w:t>
      </w:r>
      <w:r w:rsidR="00485759">
        <w:rPr>
          <w:rFonts w:ascii="Tahoma" w:hAnsi="Tahoma"/>
          <w:sz w:val="20"/>
          <w:szCs w:val="20"/>
        </w:rPr>
        <w:t>izacja pracy układu awaryjnego,</w:t>
      </w:r>
    </w:p>
    <w:p w:rsidR="00414CEB" w:rsidRDefault="00485759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Ochrona obiektu,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zapchania każdej z pomp (wydajność mniejsza niż ustalona prz</w:t>
      </w:r>
      <w:r w:rsidR="00485759">
        <w:rPr>
          <w:rFonts w:ascii="Tahoma" w:hAnsi="Tahoma"/>
          <w:sz w:val="20"/>
          <w:szCs w:val="20"/>
        </w:rPr>
        <w:t>ez obsługę w zakresie 0-100m3),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Ustawienie alarmu braku pracy </w:t>
      </w:r>
      <w:r w:rsidR="00485759">
        <w:rPr>
          <w:rFonts w:ascii="Tahoma" w:hAnsi="Tahoma"/>
          <w:sz w:val="20"/>
          <w:szCs w:val="20"/>
        </w:rPr>
        <w:t>przepompowni (zakres od 0-48h),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zadanej n</w:t>
      </w:r>
      <w:r w:rsidR="00485759">
        <w:rPr>
          <w:rFonts w:ascii="Tahoma" w:hAnsi="Tahoma"/>
          <w:sz w:val="20"/>
          <w:szCs w:val="20"/>
        </w:rPr>
        <w:t>astawy poziomu spiętrzenia [%],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zadanej nasta</w:t>
      </w:r>
      <w:r w:rsidR="00485759">
        <w:rPr>
          <w:rFonts w:ascii="Tahoma" w:hAnsi="Tahoma"/>
          <w:sz w:val="20"/>
          <w:szCs w:val="20"/>
        </w:rPr>
        <w:t>wy poziomu załączenia pomp [%],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zadanej nasta</w:t>
      </w:r>
      <w:r w:rsidR="00485759">
        <w:rPr>
          <w:rFonts w:ascii="Tahoma" w:hAnsi="Tahoma"/>
          <w:sz w:val="20"/>
          <w:szCs w:val="20"/>
        </w:rPr>
        <w:t>wy poziomu wyłączenia pomp [%],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</w:t>
      </w:r>
      <w:r w:rsidR="00485759">
        <w:rPr>
          <w:rFonts w:ascii="Tahoma" w:hAnsi="Tahoma"/>
          <w:sz w:val="20"/>
          <w:szCs w:val="20"/>
        </w:rPr>
        <w:t>anej nastawy czasu pauzy [</w:t>
      </w:r>
      <w:proofErr w:type="spellStart"/>
      <w:r w:rsidR="00485759">
        <w:rPr>
          <w:rFonts w:ascii="Tahoma" w:hAnsi="Tahoma"/>
          <w:sz w:val="20"/>
          <w:szCs w:val="20"/>
        </w:rPr>
        <w:t>sek</w:t>
      </w:r>
      <w:proofErr w:type="spellEnd"/>
      <w:r w:rsidR="00485759">
        <w:rPr>
          <w:rFonts w:ascii="Tahoma" w:hAnsi="Tahoma"/>
          <w:sz w:val="20"/>
          <w:szCs w:val="20"/>
        </w:rPr>
        <w:t>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zadan</w:t>
      </w:r>
      <w:r w:rsidR="00485759">
        <w:rPr>
          <w:rFonts w:ascii="Tahoma" w:hAnsi="Tahoma"/>
          <w:sz w:val="20"/>
          <w:szCs w:val="20"/>
        </w:rPr>
        <w:t>ej nastawy czasu dobiegu [</w:t>
      </w:r>
      <w:proofErr w:type="spellStart"/>
      <w:r w:rsidR="00485759">
        <w:rPr>
          <w:rFonts w:ascii="Tahoma" w:hAnsi="Tahoma"/>
          <w:sz w:val="20"/>
          <w:szCs w:val="20"/>
        </w:rPr>
        <w:t>sek</w:t>
      </w:r>
      <w:proofErr w:type="spellEnd"/>
      <w:r w:rsidR="00485759">
        <w:rPr>
          <w:rFonts w:ascii="Tahoma" w:hAnsi="Tahoma"/>
          <w:sz w:val="20"/>
          <w:szCs w:val="20"/>
        </w:rPr>
        <w:t>],</w:t>
      </w:r>
    </w:p>
    <w:p w:rsidR="00414CEB" w:rsidRDefault="009F73F3" w:rsidP="00E90328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Ustawienie oraz podgląd zadanej nastawy</w:t>
      </w:r>
      <w:r w:rsidR="00485759">
        <w:rPr>
          <w:rFonts w:ascii="Tahoma" w:hAnsi="Tahoma"/>
          <w:sz w:val="20"/>
          <w:szCs w:val="20"/>
        </w:rPr>
        <w:t xml:space="preserve"> czasu pracy maksymalnej [</w:t>
      </w:r>
      <w:proofErr w:type="spellStart"/>
      <w:r w:rsidR="00485759">
        <w:rPr>
          <w:rFonts w:ascii="Tahoma" w:hAnsi="Tahoma"/>
          <w:sz w:val="20"/>
          <w:szCs w:val="20"/>
        </w:rPr>
        <w:t>sek</w:t>
      </w:r>
      <w:proofErr w:type="spellEnd"/>
      <w:r w:rsidR="00485759">
        <w:rPr>
          <w:rFonts w:ascii="Tahoma" w:hAnsi="Tahoma"/>
          <w:sz w:val="20"/>
          <w:szCs w:val="20"/>
        </w:rPr>
        <w:t>].</w:t>
      </w:r>
    </w:p>
    <w:p w:rsidR="00414CEB" w:rsidRDefault="009F73F3" w:rsidP="00E90328">
      <w:pPr>
        <w:pStyle w:val="Tekstpodstawowy"/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 </w:t>
      </w:r>
    </w:p>
    <w:p w:rsidR="00414CEB" w:rsidRDefault="009F73F3" w:rsidP="00485759">
      <w:pPr>
        <w:pStyle w:val="Tekstpodstawowy"/>
        <w:spacing w:after="20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Dodatkowo ze sterownika przepompowni muszą zostać przesłane następujące alarmy na Pogotowie Toruńskich Wodociągów: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awarii pompy – dla każdej pompy osobno,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włamania,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otwartego włazu,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otwartych drzwi SZR,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zalania komory,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</w:t>
      </w:r>
      <w:proofErr w:type="spellStart"/>
      <w:r>
        <w:rPr>
          <w:rFonts w:ascii="Tahoma" w:hAnsi="Tahoma"/>
          <w:sz w:val="20"/>
          <w:szCs w:val="20"/>
        </w:rPr>
        <w:t>suchobiegu</w:t>
      </w:r>
      <w:proofErr w:type="spellEnd"/>
      <w:r>
        <w:rPr>
          <w:rFonts w:ascii="Tahoma" w:hAnsi="Tahoma"/>
          <w:sz w:val="20"/>
          <w:szCs w:val="20"/>
        </w:rPr>
        <w:t xml:space="preserve"> pompy,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o spiętrzeniu ścieków,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zapchania każdej z pomp, </w:t>
      </w:r>
    </w:p>
    <w:p w:rsidR="00414CEB" w:rsidRDefault="009F73F3" w:rsidP="00E9032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Alarm o braku pracy przepompowni. </w:t>
      </w:r>
    </w:p>
    <w:p w:rsidR="00414CEB" w:rsidRDefault="00414CEB">
      <w:pPr>
        <w:pStyle w:val="Akapitzlist"/>
        <w:tabs>
          <w:tab w:val="left" w:pos="993"/>
        </w:tabs>
        <w:ind w:left="633"/>
        <w:jc w:val="both"/>
        <w:rPr>
          <w:rFonts w:cs="Arial"/>
          <w:bCs/>
          <w:iCs/>
        </w:rPr>
      </w:pPr>
    </w:p>
    <w:p w:rsidR="00414CEB" w:rsidRDefault="009F73F3">
      <w:pPr>
        <w:pStyle w:val="Akapitzlist"/>
        <w:tabs>
          <w:tab w:val="left" w:pos="993"/>
        </w:tabs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rial"/>
          <w:bCs/>
          <w:iCs/>
          <w:sz w:val="20"/>
          <w:szCs w:val="20"/>
        </w:rPr>
        <w:t>Drobne zmiany w zasilaniu i sterowaniu lub oprogramowaniu sterowników i systemu monitoringu w  pogotowiu T.W. należy ująć w cenie ofertowej.</w:t>
      </w:r>
    </w:p>
    <w:p w:rsidR="00414CEB" w:rsidRDefault="00414CEB">
      <w:pPr>
        <w:rPr>
          <w:rFonts w:ascii="Tahoma" w:hAnsi="Tahoma" w:cs="Tahoma"/>
          <w:b/>
          <w:sz w:val="20"/>
          <w:szCs w:val="20"/>
        </w:rPr>
      </w:pPr>
    </w:p>
    <w:p w:rsidR="00414CEB" w:rsidRDefault="009F73F3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Uwagi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414CEB" w:rsidRDefault="009F73F3">
      <w:pPr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Obetonowanie skrzynek armatury, włazów itp.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  <w:t>z inspektorem nadzoru na budowie) oraz o rozmiarach min 1 m od krawędzi włazu (dla włazów kanalizacyjnych).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Rury i kształtki winny posiadać certyfikat zgodności wykonania z PN – EN 12 201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robót obejmuje dokumentacja projektowa wykazana w wykazie załączników w pkt 6 niniejszego opisu przedmiotu zamówienia, która łącznie z niniejszym opisem stanowi podstawowy materiał dla wykonania wyceny robót przez wykonawcę. 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414CEB" w:rsidRDefault="009F73F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możliwość uzyskania efektu założonego przez Zamawiającego za pomocą innych rozwiązań technicznych.</w:t>
      </w:r>
    </w:p>
    <w:p w:rsidR="00414CEB" w:rsidRDefault="00414CEB">
      <w:pPr>
        <w:jc w:val="both"/>
        <w:rPr>
          <w:rFonts w:ascii="Tahoma" w:hAnsi="Tahoma" w:cs="Tahoma"/>
          <w:sz w:val="20"/>
          <w:szCs w:val="20"/>
        </w:rPr>
      </w:pPr>
    </w:p>
    <w:p w:rsidR="00414CEB" w:rsidRDefault="009F73F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załączników</w:t>
      </w:r>
    </w:p>
    <w:p w:rsidR="00414CEB" w:rsidRDefault="00414CEB">
      <w:pPr>
        <w:rPr>
          <w:rFonts w:ascii="Tahoma" w:hAnsi="Tahoma" w:cs="Tahoma"/>
          <w:b/>
          <w:sz w:val="16"/>
          <w:szCs w:val="16"/>
        </w:rPr>
      </w:pPr>
    </w:p>
    <w:p w:rsidR="00414CEB" w:rsidRDefault="009F73F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niniejszego opisu przedmiotu zamówienia jest dokumentacja projektowa:</w:t>
      </w:r>
    </w:p>
    <w:p w:rsidR="00414CEB" w:rsidRDefault="009F73F3">
      <w:p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projekt budowlany opracowany w sierpniu 2021 r. przez </w:t>
      </w:r>
      <w:r>
        <w:rPr>
          <w:rFonts w:ascii="Tahoma" w:hAnsi="Tahoma" w:cs="Tahoma"/>
          <w:sz w:val="20"/>
          <w:szCs w:val="20"/>
        </w:rPr>
        <w:t>HANKOP – nadzór i projektowanie sieci  i instalacji sanitarnych, z siedzibą w Toruniu, ul. Kurpiowska 7/6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 zagospodarowania terenu tom I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 architektoniczno – budowlany branża sanitarne  tom I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 architektoniczno – budowlany branża drogowa, tłocznia ścieków tom II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 architektoniczno</w:t>
      </w:r>
      <w:r w:rsidR="00890321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-</w:t>
      </w:r>
      <w:r w:rsidR="00890321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budowlany branża elektryczna tom III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Opinie, uzgodnienia i inne tom IV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 organizacji ruchu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Inwentaryzacja zieleni</w:t>
      </w:r>
    </w:p>
    <w:p w:rsidR="00414CEB" w:rsidRDefault="009F73F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Specyfikacje techniczne wykonania i odbioru robót</w:t>
      </w:r>
    </w:p>
    <w:p w:rsidR="00414CEB" w:rsidRDefault="009F73F3">
      <w:pPr>
        <w:pStyle w:val="Akapitzlist"/>
        <w:ind w:left="927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- branża wod-kan</w:t>
      </w:r>
    </w:p>
    <w:p w:rsidR="00414CEB" w:rsidRDefault="009F73F3">
      <w:pPr>
        <w:pStyle w:val="Akapitzlist"/>
        <w:ind w:left="927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- branża elektryczna</w:t>
      </w:r>
    </w:p>
    <w:p w:rsidR="00414CEB" w:rsidRDefault="009F73F3">
      <w:pPr>
        <w:pStyle w:val="Akapitzlist"/>
        <w:ind w:left="927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- branża drogowa (teren tłoczni ścieków)</w:t>
      </w:r>
    </w:p>
    <w:p w:rsidR="00414CEB" w:rsidRDefault="00414CEB">
      <w:pPr>
        <w:pStyle w:val="Akapitzlist"/>
        <w:ind w:left="567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414CEB" w:rsidRDefault="009F73F3">
      <w:p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 Wydział Inwestycji i Remontów i stanowią łącznie z niniejszym opisem podstawowy materiał do wykonania wyceny robót przez Wykonawcę.</w:t>
      </w:r>
    </w:p>
    <w:p w:rsidR="00414CEB" w:rsidRDefault="00414CE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14CEB" w:rsidRDefault="00414CEB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414CEB" w:rsidSect="00414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28" w:rsidRDefault="005F2828" w:rsidP="00414CEB">
      <w:r>
        <w:separator/>
      </w:r>
    </w:p>
  </w:endnote>
  <w:endnote w:type="continuationSeparator" w:id="0">
    <w:p w:rsidR="005F2828" w:rsidRDefault="005F2828" w:rsidP="0041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11200"/>
      <w:docPartObj>
        <w:docPartGallery w:val="Page Numbers (Bottom of Page)"/>
        <w:docPartUnique/>
      </w:docPartObj>
    </w:sdtPr>
    <w:sdtContent>
      <w:p w:rsidR="00414CEB" w:rsidRDefault="00327472">
        <w:pPr>
          <w:pStyle w:val="Footer"/>
          <w:jc w:val="right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9F73F3">
          <w:rPr>
            <w:rFonts w:ascii="Tahoma" w:hAnsi="Tahoma" w:cs="Tahoma"/>
            <w:sz w:val="16"/>
            <w:szCs w:val="16"/>
          </w:rPr>
          <w:instrText>PAGE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661FCD">
          <w:rPr>
            <w:rFonts w:ascii="Tahoma" w:hAnsi="Tahoma" w:cs="Tahoma"/>
            <w:noProof/>
            <w:sz w:val="16"/>
            <w:szCs w:val="16"/>
          </w:rPr>
          <w:t>6</w:t>
        </w:r>
        <w:r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14CEB" w:rsidRDefault="00414CEB">
    <w:pPr>
      <w:pStyle w:val="Footer"/>
      <w:pBdr>
        <w:top w:val="single" w:sz="4" w:space="1" w:color="000000"/>
      </w:pBdr>
      <w:rPr>
        <w:rFonts w:ascii="Tahoma" w:hAnsi="Tahoma" w:cs="Tahoma"/>
        <w:sz w:val="16"/>
        <w:szCs w:val="16"/>
      </w:rPr>
    </w:pPr>
  </w:p>
  <w:p w:rsidR="00414CEB" w:rsidRDefault="009F73F3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Budowa sieci wodociągowej i kanalizacji sanitarnej w ulicy Lipowej w Toruniu wraz z tłoc</w:t>
    </w:r>
    <w:r w:rsidR="00B66D95">
      <w:rPr>
        <w:rFonts w:ascii="Tahoma" w:hAnsi="Tahoma" w:cs="Tahoma"/>
        <w:sz w:val="16"/>
        <w:szCs w:val="16"/>
      </w:rPr>
      <w:t>znią ścieków i kanałem tłocznym</w:t>
    </w:r>
  </w:p>
  <w:p w:rsidR="00414CEB" w:rsidRDefault="00414C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28" w:rsidRDefault="005F2828" w:rsidP="00414CEB">
      <w:r>
        <w:separator/>
      </w:r>
    </w:p>
  </w:footnote>
  <w:footnote w:type="continuationSeparator" w:id="0">
    <w:p w:rsidR="005F2828" w:rsidRDefault="005F2828" w:rsidP="0041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EB" w:rsidRDefault="009F73F3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Opis przedmiotu zamówienia</w:t>
    </w:r>
  </w:p>
  <w:p w:rsidR="00414CEB" w:rsidRDefault="009F73F3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05"/>
    <w:multiLevelType w:val="multilevel"/>
    <w:tmpl w:val="5916156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86CFC"/>
    <w:multiLevelType w:val="multilevel"/>
    <w:tmpl w:val="A920A7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B376AFA"/>
    <w:multiLevelType w:val="multilevel"/>
    <w:tmpl w:val="A89C1C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DC02B64"/>
    <w:multiLevelType w:val="multilevel"/>
    <w:tmpl w:val="A92CB2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2823118"/>
    <w:multiLevelType w:val="hybridMultilevel"/>
    <w:tmpl w:val="528AE8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E06D2C"/>
    <w:multiLevelType w:val="multilevel"/>
    <w:tmpl w:val="11462DD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CFB7050"/>
    <w:multiLevelType w:val="hybridMultilevel"/>
    <w:tmpl w:val="1C6E24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A3242B"/>
    <w:multiLevelType w:val="hybridMultilevel"/>
    <w:tmpl w:val="71368950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3B628FD"/>
    <w:multiLevelType w:val="multilevel"/>
    <w:tmpl w:val="5B8C7F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5A7346A6"/>
    <w:multiLevelType w:val="multilevel"/>
    <w:tmpl w:val="1E3E9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0">
    <w:nsid w:val="5D857BE7"/>
    <w:multiLevelType w:val="multilevel"/>
    <w:tmpl w:val="319A49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76D23AAF"/>
    <w:multiLevelType w:val="multilevel"/>
    <w:tmpl w:val="34F64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82D2213"/>
    <w:multiLevelType w:val="multilevel"/>
    <w:tmpl w:val="F45E7626"/>
    <w:lvl w:ilvl="0">
      <w:start w:val="1"/>
      <w:numFmt w:val="upperRoman"/>
      <w:pStyle w:val="Tytu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BE96724"/>
    <w:multiLevelType w:val="multilevel"/>
    <w:tmpl w:val="2F0064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CEB"/>
    <w:rsid w:val="00166B1F"/>
    <w:rsid w:val="001B5154"/>
    <w:rsid w:val="001F3842"/>
    <w:rsid w:val="00286F95"/>
    <w:rsid w:val="00327472"/>
    <w:rsid w:val="00414CEB"/>
    <w:rsid w:val="00423A8A"/>
    <w:rsid w:val="00481693"/>
    <w:rsid w:val="00485759"/>
    <w:rsid w:val="005F2828"/>
    <w:rsid w:val="00661FCD"/>
    <w:rsid w:val="006D0E95"/>
    <w:rsid w:val="007769A2"/>
    <w:rsid w:val="00787942"/>
    <w:rsid w:val="00890321"/>
    <w:rsid w:val="00916FAB"/>
    <w:rsid w:val="009F73F3"/>
    <w:rsid w:val="00A40394"/>
    <w:rsid w:val="00AD6085"/>
    <w:rsid w:val="00B66D95"/>
    <w:rsid w:val="00BB7FBB"/>
    <w:rsid w:val="00C261B2"/>
    <w:rsid w:val="00E90328"/>
    <w:rsid w:val="00F84372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rsid w:val="0042397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D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DF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DFF"/>
    <w:rPr>
      <w:rFonts w:eastAsia="Times New Roman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StandardowyverdanaZnak">
    <w:name w:val="Standardowy verdana Znak"/>
    <w:link w:val="Standardowyverdana"/>
    <w:qFormat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OpisZnak">
    <w:name w:val="Opis Znak"/>
    <w:link w:val="Opis"/>
    <w:qFormat/>
    <w:rsid w:val="00017CA8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414CE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90A68"/>
    <w:rPr>
      <w:vertAlign w:val="superscript"/>
    </w:rPr>
  </w:style>
  <w:style w:type="character" w:customStyle="1" w:styleId="WW8Num10z0">
    <w:name w:val="WW8Num10z0"/>
    <w:qFormat/>
    <w:rsid w:val="00414CEB"/>
    <w:rPr>
      <w:rFonts w:ascii="Wingdings" w:hAnsi="Wingdings" w:cs="Arial"/>
    </w:rPr>
  </w:style>
  <w:style w:type="character" w:customStyle="1" w:styleId="WW8Num8z0">
    <w:name w:val="WW8Num8z0"/>
    <w:qFormat/>
    <w:rsid w:val="00414CEB"/>
    <w:rPr>
      <w:rFonts w:ascii="Wingdings" w:hAnsi="Wingdings" w:cs="Wingdings"/>
    </w:rPr>
  </w:style>
  <w:style w:type="character" w:customStyle="1" w:styleId="Znakiwypunktowania">
    <w:name w:val="Znaki wypunktowania"/>
    <w:qFormat/>
    <w:rsid w:val="00414C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414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paragraph" w:styleId="Lista">
    <w:name w:val="List"/>
    <w:basedOn w:val="Tekstpodstawowy"/>
    <w:rsid w:val="00414CEB"/>
    <w:rPr>
      <w:rFonts w:cs="Arial"/>
    </w:rPr>
  </w:style>
  <w:style w:type="paragraph" w:customStyle="1" w:styleId="Caption">
    <w:name w:val="Caption"/>
    <w:basedOn w:val="Normalny"/>
    <w:qFormat/>
    <w:rsid w:val="00414CE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14C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14CE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DF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14CEB"/>
  </w:style>
  <w:style w:type="paragraph" w:customStyle="1" w:styleId="Header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paragraph" w:customStyle="1" w:styleId="Default">
    <w:name w:val="Default"/>
    <w:qFormat/>
    <w:rsid w:val="00B97D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qFormat/>
    <w:rsid w:val="004C173E"/>
    <w:pPr>
      <w:tabs>
        <w:tab w:val="left" w:pos="567"/>
      </w:tabs>
      <w:overflowPunct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1261B"/>
    <w:pPr>
      <w:spacing w:after="120"/>
    </w:pPr>
    <w:rPr>
      <w:rFonts w:ascii="Arial" w:hAnsi="Arial" w:cs="Arial"/>
      <w:sz w:val="16"/>
      <w:szCs w:val="16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OPIS0">
    <w:name w:val="OPIS"/>
    <w:qFormat/>
    <w:rsid w:val="00017CA8"/>
    <w:pPr>
      <w:spacing w:before="60" w:line="36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paragraph" w:customStyle="1" w:styleId="mjtekstpodstawowyZnak">
    <w:name w:val="mój tekst podstawowy Znak"/>
    <w:basedOn w:val="Normalny"/>
    <w:qFormat/>
    <w:rsid w:val="00253876"/>
    <w:pPr>
      <w:jc w:val="both"/>
    </w:pPr>
    <w:rPr>
      <w:rFonts w:ascii="Tahoma" w:hAnsi="Tahoma"/>
      <w:szCs w:val="20"/>
    </w:rPr>
  </w:style>
  <w:style w:type="numbering" w:customStyle="1" w:styleId="WW8Num10">
    <w:name w:val="WW8Num10"/>
    <w:qFormat/>
    <w:rsid w:val="00414CEB"/>
  </w:style>
  <w:style w:type="numbering" w:customStyle="1" w:styleId="WW8Num8">
    <w:name w:val="WW8Num8"/>
    <w:qFormat/>
    <w:rsid w:val="00414CEB"/>
  </w:style>
  <w:style w:type="paragraph" w:styleId="Stopka">
    <w:name w:val="footer"/>
    <w:basedOn w:val="Normalny"/>
    <w:link w:val="StopkaZnak1"/>
    <w:uiPriority w:val="99"/>
    <w:semiHidden/>
    <w:unhideWhenUsed/>
    <w:rsid w:val="00B66D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6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166B1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66B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505F-80BB-48A0-B096-17AE3FF2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Sławomir Wesołowski</cp:lastModifiedBy>
  <cp:revision>3</cp:revision>
  <cp:lastPrinted>2023-07-24T09:19:00Z</cp:lastPrinted>
  <dcterms:created xsi:type="dcterms:W3CDTF">2024-03-15T12:33:00Z</dcterms:created>
  <dcterms:modified xsi:type="dcterms:W3CDTF">2024-03-15T12:44:00Z</dcterms:modified>
  <dc:language>pl-PL</dc:language>
</cp:coreProperties>
</file>