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B02A" w14:textId="77777777" w:rsidR="00C02D6F" w:rsidRDefault="00C02D6F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hAnsi="Times New Roman"/>
          <w:i/>
          <w:color w:val="000000"/>
          <w:sz w:val="20"/>
          <w:lang w:eastAsia="en-US"/>
        </w:rPr>
      </w:pPr>
    </w:p>
    <w:p w14:paraId="30BB05F6" w14:textId="77777777" w:rsidR="00C02D6F" w:rsidRDefault="00C02D6F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hAnsi="Times New Roman"/>
          <w:i/>
          <w:color w:val="000000"/>
          <w:sz w:val="20"/>
          <w:lang w:eastAsia="en-US"/>
        </w:rPr>
      </w:pPr>
    </w:p>
    <w:p w14:paraId="11E08BE1" w14:textId="77777777" w:rsidR="00C02D6F" w:rsidRPr="0027310A" w:rsidRDefault="00C02D6F" w:rsidP="00E84464">
      <w:pPr>
        <w:keepLines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27310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 do SIWZ</w:t>
      </w:r>
    </w:p>
    <w:p w14:paraId="6E630496" w14:textId="77777777" w:rsidR="00C02D6F" w:rsidRDefault="00C02D6F" w:rsidP="00E84464"/>
    <w:p w14:paraId="67B3E421" w14:textId="204AC88A" w:rsidR="00C02D6F" w:rsidRPr="00373A20" w:rsidRDefault="0066507A" w:rsidP="00E84464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1</w:t>
      </w:r>
      <w:r w:rsidR="0049441F">
        <w:rPr>
          <w:b/>
          <w:sz w:val="22"/>
          <w:szCs w:val="22"/>
        </w:rPr>
        <w:t>93</w:t>
      </w:r>
      <w:r w:rsidR="00C02D6F">
        <w:rPr>
          <w:b/>
          <w:sz w:val="22"/>
          <w:szCs w:val="22"/>
        </w:rPr>
        <w:t>/2020/PN/DZP</w:t>
      </w:r>
    </w:p>
    <w:p w14:paraId="7B43A6B8" w14:textId="77777777" w:rsidR="00C02D6F" w:rsidRDefault="00C02D6F" w:rsidP="00E84464"/>
    <w:p w14:paraId="6D5FCDC9" w14:textId="77777777" w:rsidR="00C02D6F" w:rsidRPr="00C32354" w:rsidRDefault="00C02D6F" w:rsidP="00E84464">
      <w:pPr>
        <w:jc w:val="center"/>
        <w:rPr>
          <w:b/>
          <w:sz w:val="28"/>
          <w:szCs w:val="28"/>
        </w:rPr>
      </w:pPr>
      <w:r w:rsidRPr="00C32354">
        <w:rPr>
          <w:b/>
          <w:sz w:val="28"/>
          <w:szCs w:val="28"/>
        </w:rPr>
        <w:t xml:space="preserve">OPIS PRZEDMIOTU ZAMÓWIENIA </w:t>
      </w:r>
    </w:p>
    <w:p w14:paraId="0F669C6C" w14:textId="77777777" w:rsidR="00C02D6F" w:rsidRDefault="00C02D6F" w:rsidP="00E84464">
      <w:pPr>
        <w:jc w:val="center"/>
        <w:rPr>
          <w:b/>
          <w:sz w:val="22"/>
          <w:szCs w:val="22"/>
        </w:rPr>
      </w:pPr>
    </w:p>
    <w:p w14:paraId="6E8B8D36" w14:textId="77B1D782" w:rsidR="00C02D6F" w:rsidRPr="0049441F" w:rsidRDefault="0049441F" w:rsidP="00E84464">
      <w:pPr>
        <w:jc w:val="center"/>
        <w:rPr>
          <w:b/>
          <w:szCs w:val="24"/>
        </w:rPr>
      </w:pPr>
      <w:r w:rsidRPr="0049441F">
        <w:rPr>
          <w:b/>
          <w:szCs w:val="24"/>
        </w:rPr>
        <w:t>Obsługa s</w:t>
      </w:r>
      <w:r w:rsidR="00C02D6F" w:rsidRPr="0049441F">
        <w:rPr>
          <w:b/>
          <w:szCs w:val="24"/>
        </w:rPr>
        <w:t>erwis</w:t>
      </w:r>
      <w:r w:rsidRPr="0049441F">
        <w:rPr>
          <w:b/>
          <w:szCs w:val="24"/>
        </w:rPr>
        <w:t>owa</w:t>
      </w:r>
      <w:r w:rsidR="00C02D6F" w:rsidRPr="0049441F">
        <w:rPr>
          <w:b/>
          <w:szCs w:val="24"/>
        </w:rPr>
        <w:t xml:space="preserve"> urządzeń wentylacyjnych i klimatyzacyjnych </w:t>
      </w:r>
      <w:r w:rsidRPr="0049441F">
        <w:rPr>
          <w:b/>
          <w:szCs w:val="24"/>
        </w:rPr>
        <w:t>w obiektach Wydziału Lekarskiego przy ul. Warszawskiej 30/3, 3a, 6, 8, ME Uniwersytetu Warmińsko-Mazurskiego w Olsztynie</w:t>
      </w:r>
      <w:r w:rsidRPr="0049441F">
        <w:rPr>
          <w:b/>
          <w:szCs w:val="24"/>
        </w:rPr>
        <w:t xml:space="preserve"> </w:t>
      </w:r>
    </w:p>
    <w:p w14:paraId="7AB5305F" w14:textId="77777777" w:rsidR="00C02D6F" w:rsidRDefault="00C02D6F" w:rsidP="00E84464">
      <w:pPr>
        <w:jc w:val="center"/>
        <w:rPr>
          <w:b/>
        </w:rPr>
      </w:pPr>
    </w:p>
    <w:p w14:paraId="140DB21D" w14:textId="641EAF34" w:rsidR="00C02D6F" w:rsidRPr="0049441F" w:rsidRDefault="00C02D6F" w:rsidP="00E84464">
      <w:pPr>
        <w:numPr>
          <w:ilvl w:val="0"/>
          <w:numId w:val="4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441F">
        <w:rPr>
          <w:sz w:val="22"/>
          <w:szCs w:val="22"/>
        </w:rPr>
        <w:t xml:space="preserve">Przedmiotem zamówienia jest </w:t>
      </w:r>
      <w:r w:rsidRPr="0049441F">
        <w:rPr>
          <w:b/>
          <w:sz w:val="22"/>
          <w:szCs w:val="22"/>
        </w:rPr>
        <w:t xml:space="preserve">obsługa serwisowa </w:t>
      </w:r>
      <w:r w:rsidR="0049441F" w:rsidRPr="0049441F">
        <w:rPr>
          <w:b/>
          <w:sz w:val="22"/>
          <w:szCs w:val="22"/>
        </w:rPr>
        <w:t>urządzeń wentylacyjnych i klimatyzacyjnych w obiektach Wydziału Lekarskiego przy ul. Warszawskiej 30/3, 3a, 6, 8, ME Uniwersytetu Warmińsko-Mazurskiego w Olsztynie</w:t>
      </w:r>
      <w:r w:rsidRPr="0049441F">
        <w:rPr>
          <w:sz w:val="22"/>
          <w:szCs w:val="22"/>
        </w:rPr>
        <w:t>, polegająca na:</w:t>
      </w:r>
    </w:p>
    <w:p w14:paraId="6C76B0EA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49441F">
        <w:rPr>
          <w:sz w:val="22"/>
          <w:szCs w:val="22"/>
        </w:rPr>
        <w:t>dokonywaniu przeglądów urządzeń i ocenie ich stanu technicznego wg instrukcji DTR, zale</w:t>
      </w:r>
      <w:r w:rsidRPr="00C622D2">
        <w:rPr>
          <w:sz w:val="22"/>
          <w:szCs w:val="22"/>
        </w:rPr>
        <w:t>ceń producentów oraz wskazań Zamawiającego z interwencjami serwisowymi;</w:t>
      </w:r>
    </w:p>
    <w:p w14:paraId="206DEB8F" w14:textId="77777777" w:rsidR="00C02D6F" w:rsidRPr="00C622D2" w:rsidRDefault="00C02D6F" w:rsidP="00E84464">
      <w:pPr>
        <w:numPr>
          <w:ilvl w:val="0"/>
          <w:numId w:val="43"/>
        </w:numPr>
        <w:spacing w:line="276" w:lineRule="auto"/>
        <w:ind w:left="150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oględziny ogólne i ocena stanu technicznego poszczególnych urządzeń wentylacyjnych z podglądem ich  pracy, z utrzymaniem ich stałej sprawności technicznej </w:t>
      </w:r>
    </w:p>
    <w:p w14:paraId="33F28BD1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wykonywaniu czynności konserwacyjnych i naprawczych, polegających na czyszczeniu, odkurzaniu, myciu, dezynfekcji, udrażnianiu wg zaleceń producenta oraz wskazań Zamawiającego;</w:t>
      </w:r>
    </w:p>
    <w:p w14:paraId="7AEA939C" w14:textId="77777777" w:rsidR="00C02D6F" w:rsidRPr="00C622D2" w:rsidRDefault="00C02D6F" w:rsidP="00E8446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ocenę stanu technicznego zespołu wentylatorowego polegającej na kontroli stanu zużycia łożysk, smarowaniu,  regulacji napędu, czyszczeniu wentylatorów;</w:t>
      </w:r>
    </w:p>
    <w:p w14:paraId="142DBAD7" w14:textId="77777777" w:rsidR="00C02D6F" w:rsidRPr="00C622D2" w:rsidRDefault="00C02D6F" w:rsidP="00E8446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ocenę stanu wymienników ciepła, czyszczenie i prostowanie lamel, czyszczenie całego    wymiennika rotacyjnego;</w:t>
      </w:r>
    </w:p>
    <w:p w14:paraId="396584A0" w14:textId="77777777" w:rsidR="00C02D6F" w:rsidRPr="00C622D2" w:rsidRDefault="00C02D6F" w:rsidP="00E8446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bieżące prace konserwacyjne, tj. odkurzanie, mycie, dezynfekcja przestrzeni central wentylacyjnych;</w:t>
      </w:r>
    </w:p>
    <w:p w14:paraId="069DC2A6" w14:textId="77777777" w:rsidR="00C02D6F" w:rsidRPr="00C622D2" w:rsidRDefault="00C02D6F" w:rsidP="00E8446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bieżące sporządzanie protokołów serwisowych z przeprowadzonej konserwacji dla każdej centrali wentylacyjnej, klimatyzatora, agregatu itp. co 6 miesięcy, potwierdzonych przez Użytkownika lub  Administratora obiektu ,oraz w ślad za nimi dokonywanie ewentualnych napraw tych urządzeń, pod warunkiem uzgodnienia kosztów napraw z Zamawiającym;</w:t>
      </w:r>
    </w:p>
    <w:p w14:paraId="6D410995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kontrolowaniu i regulacji parametrów pracy urządzeń, w tym kontrolowaniu i regulowaniu min. temperatury i ciśnienia;</w:t>
      </w:r>
    </w:p>
    <w:p w14:paraId="73198A91" w14:textId="77777777" w:rsidR="00C02D6F" w:rsidRPr="00C622D2" w:rsidRDefault="00C02D6F" w:rsidP="00E8446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sprawdzanie funkcjonowania przepustnic, oraz ich ewentualna regulacja;</w:t>
      </w:r>
    </w:p>
    <w:p w14:paraId="35E5DD2E" w14:textId="77777777" w:rsidR="00C02D6F" w:rsidRPr="00C622D2" w:rsidRDefault="00C02D6F" w:rsidP="00E8446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sprawdzanie drożności instalacji odprowadzenia skroplin, zalanie syfonu, czyszczenie z osadu;</w:t>
      </w:r>
    </w:p>
    <w:p w14:paraId="4E62F4F8" w14:textId="77777777" w:rsidR="00C02D6F" w:rsidRPr="00C622D2" w:rsidRDefault="00C02D6F" w:rsidP="00E8446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sprawdzenie stopnia zabrudzenia filtrów, ich czyszczenie lub wymiana, oraz oczyszczenie</w:t>
      </w:r>
      <w:r w:rsidRPr="00C622D2">
        <w:rPr>
          <w:bCs/>
          <w:sz w:val="22"/>
          <w:szCs w:val="22"/>
        </w:rPr>
        <w:t xml:space="preserve"> </w:t>
      </w:r>
      <w:r w:rsidRPr="00C622D2">
        <w:rPr>
          <w:sz w:val="22"/>
          <w:szCs w:val="22"/>
        </w:rPr>
        <w:t>komory filtracyjnej;</w:t>
      </w:r>
    </w:p>
    <w:p w14:paraId="455C9DF8" w14:textId="77777777" w:rsidR="00C02D6F" w:rsidRPr="00C622D2" w:rsidRDefault="00C02D6F" w:rsidP="00E8446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kontrolę i regulacja parametrów pracy i przepływu powietrza przez urządzenie;</w:t>
      </w:r>
    </w:p>
    <w:p w14:paraId="0D24FEB3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testowaniu układów automatyki;</w:t>
      </w:r>
    </w:p>
    <w:p w14:paraId="5F4BD711" w14:textId="77777777" w:rsidR="00C02D6F" w:rsidRPr="00C622D2" w:rsidRDefault="00C02D6F" w:rsidP="00E8446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50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t>kontrolę pracy i przetestowanie układu automatyki kontrolno - pomiarowej, sprawdzenie poprawności działania zainstalowanych zabezpieczeń oraz układów wody lodowej i ciepła technologicznego urządzeń, instalacji freonowych, instalacji elektrycznych zasilania i sterowania z usuwaniem usterek  i awarii;</w:t>
      </w:r>
    </w:p>
    <w:p w14:paraId="7B86904C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każdorazowym sporządzaniu protokołów z wykonanych czynności;</w:t>
      </w:r>
    </w:p>
    <w:p w14:paraId="745AADBD" w14:textId="77777777" w:rsidR="00C02D6F" w:rsidRPr="00C622D2" w:rsidRDefault="00C02D6F" w:rsidP="00E8446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86"/>
        <w:jc w:val="both"/>
        <w:rPr>
          <w:bCs/>
          <w:sz w:val="22"/>
          <w:szCs w:val="22"/>
        </w:rPr>
      </w:pPr>
      <w:r w:rsidRPr="00C622D2">
        <w:rPr>
          <w:sz w:val="22"/>
          <w:szCs w:val="22"/>
        </w:rPr>
        <w:lastRenderedPageBreak/>
        <w:t>przestrzeganie wszystkich innych zaleceń serwisowych zgodnie z instrukcją urządzeń wentylacyjno-klimatyzacyjnych producenta central wentylacyjnych, klimatyzatorów, wentylatorów, agregatów wody lodowej itp., w tym zaleceń gwarancyjnych i pogwarancyjnych dla urządzeń.</w:t>
      </w:r>
    </w:p>
    <w:p w14:paraId="55C82EDC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udzielaniu porad i doraźnych instrukcji w zakresie prawidłowej eksploatacji tych urządzeń dla Użytkownika lub Administratora;</w:t>
      </w:r>
    </w:p>
    <w:p w14:paraId="7BBA89DB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przyjmowaniu zgłoszeń usterek od Użytkownika. W razie przyjęcia usterki, gdzie niezbędny będzie przyjazd ekipy serwisowej, nastąpi to w ciągu 1 godziny od momentu przyjęcia zgłoszenia, oraz podjęcie działań związanych z naprawą systemów wentylacyjnych i klimatyzacyjnych. </w:t>
      </w:r>
    </w:p>
    <w:p w14:paraId="3E4791E4" w14:textId="77777777" w:rsidR="00C02D6F" w:rsidRPr="00C622D2" w:rsidRDefault="00C02D6F" w:rsidP="00E84464">
      <w:pPr>
        <w:numPr>
          <w:ilvl w:val="0"/>
          <w:numId w:val="41"/>
        </w:numPr>
        <w:spacing w:line="276" w:lineRule="auto"/>
        <w:ind w:left="78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Przyjazdy interwencyjne i usuwanie usterek pracy urządzeń systemów wentylacyjno-klimatyzacyjnych  nie powinno wpływać na  prowadzenie zajęć dydaktycznych lub laboratoryjnych w Uniwersytecie.</w:t>
      </w:r>
    </w:p>
    <w:p w14:paraId="5AB4B111" w14:textId="77777777" w:rsidR="00C02D6F" w:rsidRPr="00C622D2" w:rsidRDefault="00C02D6F" w:rsidP="00E84464">
      <w:pPr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Wykonawca będzie zobowiązany do administrowania kontem operatora — jakim jest Uniwersytet Warmińsko-Mazurski w Olsztynie w rozumieniu Ustawy z dnia 15 maja 2015 r. o substancjach zubożających warstwę ozonową oraz o niektórych fluorowanych gazach cieplarnianych (Dz. U. 2015 poz. 881) — w Centralnym Rejestrze Operatorów Urządzeń i Systemów Ochrony Przeciwpożarowej (CRO), na podstawie przekazanego stosownego pełnomocnictwa w myśl Rozporządzenia Ministra Środowiska z dnia 8 stycznia 2016 r. w sprawie Centralnego Rejestru Operatorów Urządzeń i Systemów Ochrony Przeciwpożarowej (Dz. U. 2016 poz. 56), i do wykonywania wszystkich obowiązków z tego wynikających.</w:t>
      </w:r>
    </w:p>
    <w:p w14:paraId="60F9BFD3" w14:textId="77777777" w:rsidR="00C02D6F" w:rsidRPr="00C622D2" w:rsidRDefault="00C02D6F" w:rsidP="00E84464">
      <w:pPr>
        <w:pStyle w:val="Zwykytekst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22D2">
        <w:rPr>
          <w:rFonts w:ascii="Times New Roman" w:hAnsi="Times New Roman"/>
          <w:sz w:val="22"/>
          <w:szCs w:val="22"/>
        </w:rPr>
        <w:t>W przypadku kontroli danych zawartych w Centralnym Rejestrze Operatorów Urządzeń i Systemów Ochrony Przeciwpożarowej (CRO) przez stosowny organ i stwierdzeniu nieprawidłowości oraz zastosowania kar wobec Zamawiającego, karami tymi zostanie obciążony Wykonawca.</w:t>
      </w:r>
    </w:p>
    <w:p w14:paraId="6840FC02" w14:textId="77777777" w:rsidR="00C02D6F" w:rsidRPr="00C622D2" w:rsidRDefault="00C02D6F" w:rsidP="00E84464">
      <w:pPr>
        <w:numPr>
          <w:ilvl w:val="0"/>
          <w:numId w:val="4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Przez jedną usługę serwisową rozumie się wykonanie czynności wymienionych w pkt. 1 dla jednego urządzenia wymienionego w Zestawieniu urządzeń podlegających usłudze serwisowej, stanowiącym Załącznik nr 8 do SIWZ  jeden raz w ciągu 6 miesięcy.</w:t>
      </w:r>
    </w:p>
    <w:p w14:paraId="2010CA52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622D2">
        <w:rPr>
          <w:bCs/>
          <w:sz w:val="22"/>
          <w:szCs w:val="22"/>
        </w:rPr>
        <w:t xml:space="preserve">Wykonawca zobowiązany jest do stosowania w celu serwisowym wentylacji i klimatyzacji następujących materiałów eksploatacyjnych m.in. takich jak: </w:t>
      </w:r>
      <w:r w:rsidRPr="00C622D2">
        <w:rPr>
          <w:sz w:val="22"/>
          <w:szCs w:val="22"/>
        </w:rPr>
        <w:t xml:space="preserve">filtry powietrza (wymieniane po roku eksploatacji urządzenia) G3, G4, G6, G7, G9, absolutne </w:t>
      </w:r>
      <w:proofErr w:type="spellStart"/>
      <w:r w:rsidRPr="00C622D2">
        <w:rPr>
          <w:sz w:val="22"/>
          <w:szCs w:val="22"/>
        </w:rPr>
        <w:t>Hepa</w:t>
      </w:r>
      <w:proofErr w:type="spellEnd"/>
      <w:r w:rsidRPr="00C622D2">
        <w:rPr>
          <w:sz w:val="22"/>
          <w:szCs w:val="22"/>
        </w:rPr>
        <w:t xml:space="preserve">, paski SPA, SPZ, XPA, bezpieczniki elektryczne, styczniki elektryczne do wentylatorów i klimatyzatorów, przekaźniki elektromagnetyczne, siłowniki do przepustnic wielopłaszczyznowych i ze sprężyną powrotną, zawory wentylacyjne, spray do odkażania, płyny do czyszczenia skraplacza, spray do czyszczenia styków elektrycznych, smary na bazie miedzi, smary suche w sprayu, oleje wazelinowe, łożyska SKF wentylacyjne, uszczelka teflonowe, gumowe, uszczelniacze silikonowe, silikony uniwersalne, klej montażowe, taśmy izolacyjne elektryczne, taśmy </w:t>
      </w:r>
      <w:proofErr w:type="spellStart"/>
      <w:r w:rsidRPr="00C622D2">
        <w:rPr>
          <w:sz w:val="22"/>
          <w:szCs w:val="22"/>
        </w:rPr>
        <w:t>kafleksowe</w:t>
      </w:r>
      <w:proofErr w:type="spellEnd"/>
      <w:r w:rsidRPr="00C622D2">
        <w:rPr>
          <w:sz w:val="22"/>
          <w:szCs w:val="22"/>
        </w:rPr>
        <w:t>, taśmy wentylacyjne PP, oleje sprężarkowe syntetyczne, mineralne, kontrast UV do wykrywania nieszczelności, uszczelniacze do klimatyzacji z teflonem w tubie, farby antykorozyjne, rozcieńczalniki do farb, benzyna ekstrakcyjna, neutralizatory kwasu w olejach w układzie chłodniczym.</w:t>
      </w:r>
    </w:p>
    <w:p w14:paraId="3F2E6D5A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Prace serwisowe należy prowadzić zgodnie z obowiązującymi normami, przepisami BHP </w:t>
      </w:r>
      <w:r w:rsidRPr="00C622D2">
        <w:rPr>
          <w:sz w:val="22"/>
          <w:szCs w:val="22"/>
        </w:rPr>
        <w:br/>
        <w:t>i ppoż. oraz dokumentacją techniczno - ruchową producentów urządzeń wraz z serwisem towarzyszących urządzeniom instalacji ciepła technologicznego, wody lodowej, instalacji freonowej, instalacji elektrycznej zasilania i sterowania.</w:t>
      </w:r>
    </w:p>
    <w:p w14:paraId="7325ED0F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Każdorazowy przyjazd ekipy serwisowej należy uzgodnić z Administratorem / Użytkownikiem / budynku lub w razie niemożliwości kontaktu zgłosić do Inspektora Nadzoru pod numer telefonu 89/523 44 49 bądź do sekretariatu Działu  Inwestycji i Nadzoru Budowlanego pod numer telefonu 89 / 523 33 70, na co najmniej 2 (dwa) dni przed terminem  przeglądu.</w:t>
      </w:r>
    </w:p>
    <w:p w14:paraId="110450B6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W przypadku zgłoszenia przez Zamawiającego konieczności usunięcia awarii wymagającej </w:t>
      </w:r>
      <w:r w:rsidRPr="00C622D2">
        <w:rPr>
          <w:sz w:val="22"/>
          <w:szCs w:val="22"/>
          <w:u w:val="single"/>
        </w:rPr>
        <w:t>natychmiastowej naprawy</w:t>
      </w:r>
      <w:r w:rsidRPr="00C622D2">
        <w:rPr>
          <w:sz w:val="22"/>
          <w:szCs w:val="22"/>
        </w:rPr>
        <w:t xml:space="preserve">, Wykonawca zobowiązany jest do zgłoszenia się pod wskazany adres w </w:t>
      </w:r>
      <w:r w:rsidRPr="00C622D2">
        <w:rPr>
          <w:sz w:val="22"/>
          <w:szCs w:val="22"/>
        </w:rPr>
        <w:lastRenderedPageBreak/>
        <w:t>ciągu 1 (jednej) godziny od otrzymania powiadomienia.</w:t>
      </w:r>
    </w:p>
    <w:p w14:paraId="6D991E1F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W przypadku wystąpienia awarii urządzenia Wykonawca zobowiązany będzie do sporządzenia protokołu uwzględniającego zakres i koszt naprawy. </w:t>
      </w:r>
    </w:p>
    <w:p w14:paraId="26257A75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Wykonawca po wykonaniu każdej czynności serwisowej będzie sporządzał protokół, pod którym zobowiązany będzie do uzyskania podpisu administratora danego obiektu lub inspektora nadzoru, potwierdzającego  należyte jej wykonanie. </w:t>
      </w:r>
    </w:p>
    <w:p w14:paraId="06D7A343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Wykonawca na własny koszt dostarczy niezbędne części i materiały do przeprowadzenia prac konserwacyjnych oraz udzieli na nie gwarancji na okres wyznaczony przez producenta, zapewniając specjalistyczny sprzęt, przeszkolonych serwisantów oraz potrzebny transport.</w:t>
      </w:r>
    </w:p>
    <w:p w14:paraId="199F0321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Zamawiający zapewni dostęp do urządzeń objętych usługą w obiektach wymienionych </w:t>
      </w:r>
      <w:r w:rsidRPr="00C622D2">
        <w:rPr>
          <w:sz w:val="22"/>
          <w:szCs w:val="22"/>
        </w:rPr>
        <w:br/>
        <w:t>w niniejszym  załączniku oraz do źródeł wody i energii elektrycznej.</w:t>
      </w:r>
    </w:p>
    <w:p w14:paraId="0447CEE6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Podstawą do wystawienia faktury będzie sporządzony przez Wykonawcę (co 6 miesięcy), zbiorczy protokół serwisowy potwierdzonego przez Administratorów budynków lub inspektora nadzoru. Na wartość faktury będą składały się ceny jednostkowe za wykonanie usługi serwisowej konkretnych urządzeń, które były serwisowane w okresie ostatnich 6 - </w:t>
      </w:r>
      <w:proofErr w:type="spellStart"/>
      <w:r w:rsidRPr="00C622D2">
        <w:rPr>
          <w:sz w:val="22"/>
          <w:szCs w:val="22"/>
        </w:rPr>
        <w:t>ciu</w:t>
      </w:r>
      <w:proofErr w:type="spellEnd"/>
      <w:r w:rsidRPr="00C622D2">
        <w:rPr>
          <w:sz w:val="22"/>
          <w:szCs w:val="22"/>
        </w:rPr>
        <w:t xml:space="preserve"> miesiącach trwania usługi pomnożone przez ich ilość.</w:t>
      </w:r>
    </w:p>
    <w:p w14:paraId="51D91316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>Pominięcie w usłudze serwisowej i protokole, któregokolwiek z wymienionych w tabeli urządzeń lub niesumienne wykonanie usługi w zakresie konkretnego urządzenia, może spowodować obniżenie miesięcznego wynagrodzenia o kwotę wynikającą z Formularza cenowego.</w:t>
      </w:r>
    </w:p>
    <w:p w14:paraId="0FBE226A" w14:textId="77777777" w:rsidR="00C02D6F" w:rsidRPr="00C622D2" w:rsidRDefault="00C02D6F" w:rsidP="00E844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C622D2">
        <w:rPr>
          <w:sz w:val="22"/>
          <w:szCs w:val="22"/>
        </w:rPr>
        <w:t xml:space="preserve">Zaleca się aby Wykonawcy dokonali wizji lokalnej budynku, w którym znajdują się urządzenia podlegające serwisowi. Osobą wskazaną do kontaktu w sprawie wizji lokalnej jest: Pan </w:t>
      </w:r>
      <w:r w:rsidRPr="00C622D2">
        <w:rPr>
          <w:b/>
          <w:sz w:val="22"/>
          <w:szCs w:val="22"/>
        </w:rPr>
        <w:t>Jan Wróblewski</w:t>
      </w:r>
      <w:r w:rsidRPr="00C622D2">
        <w:rPr>
          <w:sz w:val="22"/>
          <w:szCs w:val="22"/>
        </w:rPr>
        <w:t xml:space="preserve">, </w:t>
      </w:r>
      <w:proofErr w:type="spellStart"/>
      <w:r w:rsidRPr="00C622D2">
        <w:rPr>
          <w:sz w:val="22"/>
          <w:szCs w:val="22"/>
        </w:rPr>
        <w:t>tel</w:t>
      </w:r>
      <w:proofErr w:type="spellEnd"/>
      <w:r w:rsidRPr="00C622D2">
        <w:rPr>
          <w:sz w:val="22"/>
          <w:szCs w:val="22"/>
        </w:rPr>
        <w:t xml:space="preserve">: </w:t>
      </w:r>
      <w:r w:rsidRPr="00C622D2">
        <w:rPr>
          <w:b/>
          <w:sz w:val="22"/>
          <w:szCs w:val="22"/>
        </w:rPr>
        <w:t>(89) 523-44-49</w:t>
      </w:r>
      <w:r w:rsidRPr="00C622D2">
        <w:rPr>
          <w:sz w:val="22"/>
          <w:szCs w:val="22"/>
        </w:rPr>
        <w:t xml:space="preserve">, e-mail: </w:t>
      </w:r>
      <w:hyperlink r:id="rId7" w:history="1">
        <w:r w:rsidRPr="00C622D2">
          <w:rPr>
            <w:rStyle w:val="Hipercze"/>
            <w:sz w:val="22"/>
            <w:szCs w:val="22"/>
          </w:rPr>
          <w:t>jan.wroblewski@uwm.edu.pl</w:t>
        </w:r>
      </w:hyperlink>
    </w:p>
    <w:p w14:paraId="53A2F94A" w14:textId="791A0972" w:rsidR="00C02D6F" w:rsidRDefault="00C02D6F" w:rsidP="00B21EA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 w:rsidRPr="0049441F">
        <w:rPr>
          <w:sz w:val="22"/>
          <w:szCs w:val="22"/>
        </w:rPr>
        <w:t>Zestawienie urządzeń wentylacyjnych i klimatyzacyjnych wraz z ich lokalizacją</w:t>
      </w:r>
      <w:r w:rsidR="0049441F" w:rsidRPr="0049441F">
        <w:rPr>
          <w:sz w:val="22"/>
          <w:szCs w:val="22"/>
        </w:rPr>
        <w:t xml:space="preserve"> stanowi Załącznik nr 10 do SIWZ.</w:t>
      </w:r>
    </w:p>
    <w:p w14:paraId="2E426CC4" w14:textId="77777777" w:rsidR="00C02D6F" w:rsidRPr="00B96981" w:rsidRDefault="00C02D6F" w:rsidP="00E84464">
      <w:pPr>
        <w:keepLines/>
        <w:numPr>
          <w:ilvl w:val="0"/>
          <w:numId w:val="4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Wykonawca musi przedstawić ofertę obejmującą całość zamówienia, gdyż zamówienie nie zostało podzielone na wyodrębnione części i musi być zrealizowane w całości.</w:t>
      </w:r>
    </w:p>
    <w:p w14:paraId="45536FB9" w14:textId="77777777" w:rsidR="00C02D6F" w:rsidRPr="00B96981" w:rsidRDefault="00C02D6F" w:rsidP="00E84464">
      <w:pPr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Zamawiający dopuszcza powierzenie wykonania zamówienia podwykonawcom. Zamawiający żąda wskazania przez Wykonawcę w ofercie części zamówienia, której wykonanie powierzy podwykonawcom i podania przez Wykonawcę firm podwykonawców.</w:t>
      </w:r>
    </w:p>
    <w:p w14:paraId="2CF1E1DA" w14:textId="77777777" w:rsidR="00C02D6F" w:rsidRPr="00B96981" w:rsidRDefault="00C02D6F" w:rsidP="00E84464">
      <w:pPr>
        <w:numPr>
          <w:ilvl w:val="0"/>
          <w:numId w:val="42"/>
        </w:numPr>
        <w:tabs>
          <w:tab w:val="left" w:pos="426"/>
          <w:tab w:val="left" w:pos="993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Wykonawca, którego oferta zostanie wybrana jako najkorzystniejsza zobowiązany będzie podać przed przystąpieniem do wykonania zamówienia, nazwy albo imiona i nazwiska oraz dane kontaktowe podwykonawców i osób do kontaktu z nimi. Wykonawca zobowiązany będzie także do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56723346" w14:textId="77777777" w:rsidR="00C02D6F" w:rsidRPr="00B96981" w:rsidRDefault="00C02D6F" w:rsidP="00E84464">
      <w:pPr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 xml:space="preserve">Zamawiający określa następujące wymagania, o których mowa w art. 29 ust. 3a ustawy </w:t>
      </w:r>
      <w:proofErr w:type="spellStart"/>
      <w:r w:rsidRPr="00B96981">
        <w:rPr>
          <w:sz w:val="22"/>
          <w:szCs w:val="22"/>
        </w:rPr>
        <w:t>Pzp</w:t>
      </w:r>
      <w:proofErr w:type="spellEnd"/>
      <w:r w:rsidRPr="00B96981">
        <w:rPr>
          <w:sz w:val="22"/>
          <w:szCs w:val="22"/>
        </w:rPr>
        <w:t xml:space="preserve"> związane z realizacją zamówienia, dotyczące zatrudnienia na podstawie umowy o pracę przez wykonawcę lub podwykonawcę:</w:t>
      </w:r>
    </w:p>
    <w:p w14:paraId="7625DE6A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 xml:space="preserve">.1. Wykonawca zobowiązuje się do zatrudnienia w oparciu o umowę o pracę w wymiarze </w:t>
      </w:r>
      <w:r w:rsidRPr="00B96981">
        <w:rPr>
          <w:sz w:val="22"/>
          <w:szCs w:val="22"/>
        </w:rPr>
        <w:br/>
        <w:t xml:space="preserve">   czasu pracy adekwatnym do powierzonych zadań, w sposób określony w art. 22 § 1 ustawy z dnia 26 czerwca 1974 r. – Kodeks pracy (</w:t>
      </w:r>
      <w:r w:rsidRPr="00F874D2">
        <w:t>Dz. U. z 2019 r. poz. 1040</w:t>
      </w:r>
      <w:r w:rsidRPr="00B96981">
        <w:rPr>
          <w:sz w:val="22"/>
          <w:szCs w:val="22"/>
        </w:rPr>
        <w:t xml:space="preserve">) wszystkich pracowników , którzy będą wykonywały czynności w zakresie: prace związane z serwisem urządzeń wentylacyjnych i klimatyzacyjnych. </w:t>
      </w:r>
    </w:p>
    <w:p w14:paraId="25D28E7B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>.2.  W odniesieniu do osób, o których mowa w pkt. 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 xml:space="preserve">.1 wykonujących czynności polegające   </w:t>
      </w:r>
      <w:r w:rsidRPr="00B96981">
        <w:rPr>
          <w:sz w:val="22"/>
          <w:szCs w:val="22"/>
        </w:rPr>
        <w:br/>
        <w:t xml:space="preserve">    na wykonywaniu pracy w rozumieniu art. 22 § 1 Kodeksu pracy, Zamawiający wymaga </w:t>
      </w:r>
      <w:r w:rsidRPr="00B96981">
        <w:rPr>
          <w:sz w:val="22"/>
          <w:szCs w:val="22"/>
        </w:rPr>
        <w:br/>
        <w:t xml:space="preserve">    udokumentowania faktu ich zatrudnienia poprzez przedstawienie przez Wykonawcę w </w:t>
      </w:r>
      <w:r w:rsidRPr="00B96981">
        <w:rPr>
          <w:sz w:val="22"/>
          <w:szCs w:val="22"/>
        </w:rPr>
        <w:br/>
        <w:t xml:space="preserve">    terminie 5 dni od dnia zawarcia umowy oświadczeń i dokumentów w zakresie </w:t>
      </w:r>
      <w:r w:rsidRPr="00B96981">
        <w:rPr>
          <w:sz w:val="22"/>
          <w:szCs w:val="22"/>
        </w:rPr>
        <w:br/>
        <w:t xml:space="preserve">    potwierdzenia spełniania ww. wymogu.</w:t>
      </w:r>
    </w:p>
    <w:p w14:paraId="19B0D5D5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 xml:space="preserve">     a)  Wymóg zatrudnienia na umowę o pracę nie dotyczy podwykonawców prowadzących</w:t>
      </w:r>
    </w:p>
    <w:p w14:paraId="30081B5B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lastRenderedPageBreak/>
        <w:t xml:space="preserve">          działalność gospodarczą na podstawie wpisu do CEIDG lub innych równoważnych  </w:t>
      </w:r>
      <w:r w:rsidRPr="00B96981">
        <w:rPr>
          <w:sz w:val="22"/>
          <w:szCs w:val="22"/>
        </w:rPr>
        <w:br/>
        <w:t xml:space="preserve">   rejestrów, którzy wykonują osobiście i samodzielnie czynności powierzone im w </w:t>
      </w:r>
      <w:r w:rsidRPr="00B96981">
        <w:rPr>
          <w:sz w:val="22"/>
          <w:szCs w:val="22"/>
        </w:rPr>
        <w:br/>
        <w:t xml:space="preserve">   zakresie realizacji przedmiotu zamówienia;</w:t>
      </w:r>
    </w:p>
    <w:p w14:paraId="420E36C5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 xml:space="preserve">      b) Wymóg zatrudnienia na umowę o pracę ma zastosowanie także do podwykonawców </w:t>
      </w:r>
      <w:r w:rsidRPr="00B96981">
        <w:rPr>
          <w:sz w:val="22"/>
          <w:szCs w:val="22"/>
        </w:rPr>
        <w:br/>
        <w:t xml:space="preserve">    oraz dalszych podwykonawców. Wykonawca ma obowiązek zawrzeć w umowie z </w:t>
      </w:r>
      <w:r w:rsidRPr="00B96981">
        <w:rPr>
          <w:sz w:val="22"/>
          <w:szCs w:val="22"/>
        </w:rPr>
        <w:br/>
        <w:t xml:space="preserve">    podwykonawcą wymóg zatrudnienia przez podwykonawcę i dalszych </w:t>
      </w:r>
      <w:r w:rsidRPr="00B96981">
        <w:rPr>
          <w:sz w:val="22"/>
          <w:szCs w:val="22"/>
        </w:rPr>
        <w:br/>
        <w:t xml:space="preserve">    podwykonawców osób, o których mowa w pkt. 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>.1 na umowę o pracę.</w:t>
      </w:r>
    </w:p>
    <w:p w14:paraId="3657ECB3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 xml:space="preserve">.3. W trakcie realizacji zamówienia zamawiający uprawniony jest do wykonywania </w:t>
      </w:r>
      <w:r w:rsidRPr="00B96981">
        <w:rPr>
          <w:sz w:val="22"/>
          <w:szCs w:val="22"/>
        </w:rPr>
        <w:br/>
        <w:t xml:space="preserve">    czynności kontrolnych wobec Wykonawcy odnośnie spełniania przez Wykonawcę lub </w:t>
      </w:r>
      <w:r w:rsidRPr="00B96981">
        <w:rPr>
          <w:sz w:val="22"/>
          <w:szCs w:val="22"/>
        </w:rPr>
        <w:br/>
        <w:t xml:space="preserve">    podwykonawcę wymogu zatrudnienia na podstawie umowy o pracę osób wykonujących </w:t>
      </w:r>
      <w:r w:rsidRPr="00B96981">
        <w:rPr>
          <w:sz w:val="22"/>
          <w:szCs w:val="22"/>
        </w:rPr>
        <w:br/>
        <w:t xml:space="preserve">    wskazane w punkcie 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 xml:space="preserve">.1 czynności. Zamawiający uprawniony jest w szczególności do: </w:t>
      </w:r>
    </w:p>
    <w:p w14:paraId="66204D4A" w14:textId="77777777" w:rsidR="00C02D6F" w:rsidRPr="00B96981" w:rsidRDefault="00C02D6F" w:rsidP="00E84464">
      <w:pPr>
        <w:tabs>
          <w:tab w:val="num" w:pos="426"/>
        </w:tabs>
        <w:spacing w:line="276" w:lineRule="auto"/>
        <w:ind w:left="1278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 xml:space="preserve">a) żądania dodatkowych oświadczeń i dokumentów w zakresie potwierdzenia spełniania   </w:t>
      </w:r>
      <w:r w:rsidRPr="00B96981">
        <w:rPr>
          <w:sz w:val="22"/>
          <w:szCs w:val="22"/>
        </w:rPr>
        <w:br/>
        <w:t xml:space="preserve"> ww. wymogów i dokonywania ich oceny,</w:t>
      </w:r>
    </w:p>
    <w:p w14:paraId="00420DEB" w14:textId="77777777" w:rsidR="00C02D6F" w:rsidRPr="00B96981" w:rsidRDefault="00C02D6F" w:rsidP="00E84464">
      <w:pPr>
        <w:tabs>
          <w:tab w:val="num" w:pos="426"/>
        </w:tabs>
        <w:spacing w:line="276" w:lineRule="auto"/>
        <w:ind w:left="1278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 xml:space="preserve">b) żądania wyjaśnień w przypadku wątpliwości w zakresie potwierdzenia spełniania  </w:t>
      </w:r>
      <w:r w:rsidRPr="00B96981">
        <w:rPr>
          <w:sz w:val="22"/>
          <w:szCs w:val="22"/>
        </w:rPr>
        <w:br/>
        <w:t>ww. wymogów,</w:t>
      </w:r>
    </w:p>
    <w:p w14:paraId="011C916B" w14:textId="77777777" w:rsidR="00C02D6F" w:rsidRPr="00B96981" w:rsidRDefault="00C02D6F" w:rsidP="00E84464">
      <w:pPr>
        <w:tabs>
          <w:tab w:val="num" w:pos="426"/>
        </w:tabs>
        <w:spacing w:line="276" w:lineRule="auto"/>
        <w:ind w:left="1278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c)  przeprowadzania kontroli na miejscu wykonywania świadczenia.</w:t>
      </w:r>
    </w:p>
    <w:p w14:paraId="40036D52" w14:textId="77777777" w:rsidR="00C02D6F" w:rsidRPr="00B96981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 xml:space="preserve">.4.  Z tytułu niespełnienia przez Wykonawcę lub podwykonawcę wymogu zatrudnienia na  </w:t>
      </w:r>
      <w:r w:rsidRPr="00B96981">
        <w:rPr>
          <w:sz w:val="22"/>
          <w:szCs w:val="22"/>
        </w:rPr>
        <w:br/>
        <w:t xml:space="preserve">     podstawie umowy o pracę osób wykonujących wskazane w punkcie 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 xml:space="preserve">.1 czynności  </w:t>
      </w:r>
      <w:r w:rsidRPr="00B96981">
        <w:rPr>
          <w:sz w:val="22"/>
          <w:szCs w:val="22"/>
        </w:rPr>
        <w:br/>
        <w:t xml:space="preserve">    Zamawiający przewiduje sankcję w postaci obowiązku zapłaty przez Wykonawcę kary </w:t>
      </w:r>
      <w:r w:rsidRPr="00B96981">
        <w:rPr>
          <w:sz w:val="22"/>
          <w:szCs w:val="22"/>
        </w:rPr>
        <w:br/>
        <w:t xml:space="preserve">    umownej w wysokości określonej w istotnych postanowieniach umowy w sprawie  </w:t>
      </w:r>
      <w:r w:rsidRPr="00B96981">
        <w:rPr>
          <w:sz w:val="22"/>
          <w:szCs w:val="22"/>
        </w:rPr>
        <w:br/>
        <w:t xml:space="preserve">    zamówienia publicznego. Niezłożenie przez Wykonawcę w wyznaczonym przez  </w:t>
      </w:r>
      <w:r w:rsidRPr="00B96981">
        <w:rPr>
          <w:sz w:val="22"/>
          <w:szCs w:val="22"/>
        </w:rPr>
        <w:br/>
        <w:t xml:space="preserve">    Zamawiającego terminie żądanych dowodów w celu potwierdzenia spełnienia przez  </w:t>
      </w:r>
      <w:r w:rsidRPr="00B96981">
        <w:rPr>
          <w:sz w:val="22"/>
          <w:szCs w:val="22"/>
        </w:rPr>
        <w:br/>
        <w:t xml:space="preserve">    Wykonawcę lub podwykonawcę wymogu zatrudnienia na podstawie umowy o pracę </w:t>
      </w:r>
      <w:r w:rsidRPr="00B96981">
        <w:rPr>
          <w:sz w:val="22"/>
          <w:szCs w:val="22"/>
        </w:rPr>
        <w:br/>
        <w:t xml:space="preserve">    traktowane będzie jako niespełnienie przez Wykonawcę lub podwykonawcę wymogu </w:t>
      </w:r>
      <w:r w:rsidRPr="00B96981">
        <w:rPr>
          <w:sz w:val="22"/>
          <w:szCs w:val="22"/>
        </w:rPr>
        <w:br/>
        <w:t xml:space="preserve">     zatrudnienia na podstawie umowy o pracę osób wykonujących wskazane w punkcie </w:t>
      </w:r>
      <w:r w:rsidRPr="00B96981">
        <w:rPr>
          <w:sz w:val="22"/>
          <w:szCs w:val="22"/>
        </w:rPr>
        <w:br/>
        <w:t xml:space="preserve">    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>.1. czynności.</w:t>
      </w:r>
    </w:p>
    <w:p w14:paraId="5E85B485" w14:textId="77777777" w:rsidR="00C02D6F" w:rsidRPr="00551412" w:rsidRDefault="00C02D6F" w:rsidP="00E84464">
      <w:pPr>
        <w:tabs>
          <w:tab w:val="num" w:pos="426"/>
        </w:tabs>
        <w:suppressAutoHyphens/>
        <w:spacing w:line="276" w:lineRule="auto"/>
        <w:ind w:left="852" w:hanging="426"/>
        <w:jc w:val="both"/>
        <w:rPr>
          <w:sz w:val="22"/>
          <w:szCs w:val="22"/>
        </w:rPr>
      </w:pPr>
      <w:r w:rsidRPr="00B9698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B96981">
        <w:rPr>
          <w:sz w:val="22"/>
          <w:szCs w:val="22"/>
        </w:rPr>
        <w:t>.5. W przypadku uzasadnionych wątpliwości co do przestrzegania prawa pracy przez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B96981">
        <w:rPr>
          <w:sz w:val="22"/>
          <w:szCs w:val="22"/>
        </w:rPr>
        <w:t xml:space="preserve">Wykonawcę lub podwykonawcę, Zamawiający może zwrócić się o przeprowadzenie </w:t>
      </w:r>
      <w:r w:rsidRPr="00B96981">
        <w:rPr>
          <w:sz w:val="22"/>
          <w:szCs w:val="22"/>
        </w:rPr>
        <w:br/>
      </w:r>
      <w:r w:rsidRPr="00551412">
        <w:rPr>
          <w:sz w:val="22"/>
          <w:szCs w:val="22"/>
        </w:rPr>
        <w:t xml:space="preserve">   kontroli przez Państwową Inspekcję Pracy.</w:t>
      </w:r>
    </w:p>
    <w:p w14:paraId="4A6B4DA6" w14:textId="77777777" w:rsidR="00C02D6F" w:rsidRPr="00551412" w:rsidRDefault="00C02D6F" w:rsidP="00E84464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551412">
        <w:rPr>
          <w:sz w:val="22"/>
          <w:szCs w:val="22"/>
        </w:rPr>
        <w:t xml:space="preserve">Zamawiający dopuszcza składanie ofert równoważnych, jednakże podane przez Zamawiającego wymagania oraz parametry techniczne określające przedmiot zamówienia są warunkami minimalnymi, których spełniania Zamawiający będzie oczekiwał. Zgodnie z art. 30 ust 5 </w:t>
      </w:r>
      <w:proofErr w:type="spellStart"/>
      <w:r w:rsidRPr="00551412">
        <w:rPr>
          <w:sz w:val="22"/>
          <w:szCs w:val="22"/>
        </w:rPr>
        <w:t>Pzp</w:t>
      </w:r>
      <w:proofErr w:type="spellEnd"/>
      <w:r w:rsidRPr="00551412">
        <w:rPr>
          <w:sz w:val="22"/>
          <w:szCs w:val="22"/>
        </w:rPr>
        <w:t xml:space="preserve"> Wykonawca, który powołuje się na rozwiązania równoważne rozwiązaniom opisanym przez Zamawiającego, jest obowiązany wykazać, że oferowany przez niego przedmiot zamówienia spełnia wymagania określone przez Zamawiającego.</w:t>
      </w:r>
    </w:p>
    <w:p w14:paraId="118EB266" w14:textId="77777777" w:rsidR="00C02D6F" w:rsidRPr="00551412" w:rsidRDefault="00C02D6F" w:rsidP="00E84464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551412">
        <w:rPr>
          <w:sz w:val="22"/>
          <w:szCs w:val="22"/>
        </w:rPr>
        <w:t>Zamawiający dopuszcza rozwiązania równoważne do opisywanych norm, certyfikatów, ocen technicznych, aprobat i specyfikacji technicznych.</w:t>
      </w:r>
    </w:p>
    <w:p w14:paraId="2A5EA568" w14:textId="77777777" w:rsidR="00C02D6F" w:rsidRPr="00551412" w:rsidRDefault="00C02D6F" w:rsidP="00E84464">
      <w:pPr>
        <w:numPr>
          <w:ilvl w:val="0"/>
          <w:numId w:val="4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51412">
        <w:rPr>
          <w:sz w:val="22"/>
          <w:szCs w:val="22"/>
        </w:rPr>
        <w:t xml:space="preserve">Wykonawca udzieli gwarancji na okres minimum </w:t>
      </w:r>
      <w:r w:rsidRPr="00551412">
        <w:rPr>
          <w:b/>
          <w:sz w:val="22"/>
          <w:szCs w:val="22"/>
        </w:rPr>
        <w:t>12 miesięcy</w:t>
      </w:r>
      <w:r w:rsidRPr="00551412">
        <w:rPr>
          <w:sz w:val="22"/>
          <w:szCs w:val="22"/>
        </w:rPr>
        <w:t xml:space="preserve"> na wszystkie prace, a na użyte materiały zgodnie z kartą gwarancyjną producenta.</w:t>
      </w:r>
    </w:p>
    <w:p w14:paraId="0BFC6305" w14:textId="77777777" w:rsidR="00C02D6F" w:rsidRDefault="00C02D6F" w:rsidP="00E84464">
      <w:pPr>
        <w:jc w:val="center"/>
        <w:rPr>
          <w:b/>
        </w:rPr>
      </w:pPr>
    </w:p>
    <w:p w14:paraId="6C6F814B" w14:textId="77777777" w:rsidR="00C02D6F" w:rsidRDefault="00C02D6F" w:rsidP="00E84464">
      <w:pPr>
        <w:jc w:val="center"/>
        <w:rPr>
          <w:b/>
        </w:rPr>
      </w:pPr>
    </w:p>
    <w:p w14:paraId="0CC00938" w14:textId="77777777" w:rsidR="00C02D6F" w:rsidRDefault="00C02D6F" w:rsidP="00E84464">
      <w:pPr>
        <w:jc w:val="center"/>
        <w:rPr>
          <w:b/>
        </w:rPr>
      </w:pPr>
    </w:p>
    <w:p w14:paraId="0A964BA9" w14:textId="77777777" w:rsidR="0049441F" w:rsidRPr="009022BA" w:rsidRDefault="0049441F" w:rsidP="0049441F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42E15A40" w14:textId="77777777" w:rsidR="0049441F" w:rsidRPr="009022BA" w:rsidRDefault="0049441F" w:rsidP="0049441F">
      <w:pPr>
        <w:rPr>
          <w:sz w:val="22"/>
          <w:szCs w:val="22"/>
        </w:rPr>
      </w:pPr>
    </w:p>
    <w:p w14:paraId="5A502A81" w14:textId="77777777" w:rsidR="0049441F" w:rsidRPr="009022BA" w:rsidRDefault="0049441F" w:rsidP="004944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507B8E39" w14:textId="77777777" w:rsidR="0049441F" w:rsidRPr="004F6AE3" w:rsidRDefault="0049441F" w:rsidP="0049441F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Pr="004F6AE3">
        <w:rPr>
          <w:b/>
          <w:sz w:val="22"/>
          <w:szCs w:val="22"/>
        </w:rPr>
        <w:t xml:space="preserve">(podpis Wykonawcy lub kwalifikowany podpis elektroniczny) </w:t>
      </w:r>
    </w:p>
    <w:p w14:paraId="3E2E5D45" w14:textId="77777777" w:rsidR="00C02D6F" w:rsidRDefault="00C02D6F" w:rsidP="0049441F">
      <w:pPr>
        <w:rPr>
          <w:b/>
        </w:rPr>
      </w:pPr>
    </w:p>
    <w:p w14:paraId="13BCF530" w14:textId="77777777" w:rsidR="00C02D6F" w:rsidRDefault="00C02D6F" w:rsidP="00E84464">
      <w:pPr>
        <w:jc w:val="center"/>
        <w:rPr>
          <w:b/>
        </w:rPr>
      </w:pPr>
    </w:p>
    <w:p w14:paraId="0FC0A62D" w14:textId="77777777" w:rsidR="00C02D6F" w:rsidRDefault="00C02D6F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hAnsi="Times New Roman"/>
          <w:i/>
          <w:color w:val="000000"/>
          <w:sz w:val="20"/>
          <w:lang w:eastAsia="en-US"/>
        </w:rPr>
      </w:pPr>
    </w:p>
    <w:sectPr w:rsidR="00C02D6F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6982" w14:textId="77777777" w:rsidR="0044135E" w:rsidRDefault="0044135E">
      <w:r>
        <w:separator/>
      </w:r>
    </w:p>
  </w:endnote>
  <w:endnote w:type="continuationSeparator" w:id="0">
    <w:p w14:paraId="276BF44E" w14:textId="77777777" w:rsidR="0044135E" w:rsidRDefault="004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1B2B" w14:textId="77777777" w:rsidR="00C02D6F" w:rsidRDefault="00257FC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83882" w14:textId="77777777" w:rsidR="00C02D6F" w:rsidRDefault="00C02D6F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4FAD" w14:textId="77777777" w:rsidR="00C02D6F" w:rsidRDefault="00C02D6F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4BD9137" w14:textId="77777777" w:rsidR="00C02D6F" w:rsidRDefault="00C02D6F" w:rsidP="00E84464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6778BE00" w14:textId="77777777" w:rsidR="00C02D6F" w:rsidRDefault="00C02D6F">
    <w:pPr>
      <w:pStyle w:val="Stopka"/>
      <w:jc w:val="right"/>
    </w:pPr>
  </w:p>
  <w:p w14:paraId="1E1DE9BB" w14:textId="77777777" w:rsidR="00C02D6F" w:rsidRDefault="00C02D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7ACE" w14:textId="77777777" w:rsidR="00C02D6F" w:rsidRDefault="00C02D6F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D88FC97" w14:textId="77777777" w:rsidR="00C02D6F" w:rsidRDefault="00C02D6F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7B4EF8D4" w14:textId="77777777" w:rsidR="00C02D6F" w:rsidRDefault="00C02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913DA" w14:textId="77777777" w:rsidR="0044135E" w:rsidRDefault="0044135E">
      <w:r>
        <w:separator/>
      </w:r>
    </w:p>
  </w:footnote>
  <w:footnote w:type="continuationSeparator" w:id="0">
    <w:p w14:paraId="770A0999" w14:textId="77777777" w:rsidR="0044135E" w:rsidRDefault="0044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A141" w14:textId="77777777" w:rsidR="00C02D6F" w:rsidRPr="00DE4B7C" w:rsidRDefault="0049441F" w:rsidP="00DE4B7C">
    <w:pPr>
      <w:pStyle w:val="Nagwek"/>
    </w:pPr>
    <w:r>
      <w:rPr>
        <w:noProof/>
      </w:rPr>
      <w:pict w14:anchorId="76865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uwm1" style="width:240pt;height:5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5257BD"/>
    <w:multiLevelType w:val="hybridMultilevel"/>
    <w:tmpl w:val="4586AEC6"/>
    <w:lvl w:ilvl="0" w:tplc="5C1C2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7050B"/>
    <w:multiLevelType w:val="hybridMultilevel"/>
    <w:tmpl w:val="3A6CC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4146A5"/>
    <w:multiLevelType w:val="hybridMultilevel"/>
    <w:tmpl w:val="E15645B2"/>
    <w:lvl w:ilvl="0" w:tplc="BFD6E90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1CA"/>
    <w:multiLevelType w:val="hybridMultilevel"/>
    <w:tmpl w:val="091CBFD0"/>
    <w:lvl w:ilvl="0" w:tplc="BFD6E90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5DB542D6"/>
    <w:multiLevelType w:val="hybridMultilevel"/>
    <w:tmpl w:val="AEC2DFBA"/>
    <w:lvl w:ilvl="0" w:tplc="BFD6E90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25"/>
  </w:num>
  <w:num w:numId="4">
    <w:abstractNumId w:val="18"/>
  </w:num>
  <w:num w:numId="5">
    <w:abstractNumId w:val="15"/>
  </w:num>
  <w:num w:numId="6">
    <w:abstractNumId w:val="6"/>
  </w:num>
  <w:num w:numId="7">
    <w:abstractNumId w:val="19"/>
  </w:num>
  <w:num w:numId="8">
    <w:abstractNumId w:val="5"/>
  </w:num>
  <w:num w:numId="9">
    <w:abstractNumId w:val="23"/>
  </w:num>
  <w:num w:numId="10">
    <w:abstractNumId w:val="21"/>
  </w:num>
  <w:num w:numId="11">
    <w:abstractNumId w:val="1"/>
  </w:num>
  <w:num w:numId="12">
    <w:abstractNumId w:val="39"/>
  </w:num>
  <w:num w:numId="13">
    <w:abstractNumId w:val="24"/>
  </w:num>
  <w:num w:numId="14">
    <w:abstractNumId w:val="13"/>
  </w:num>
  <w:num w:numId="15">
    <w:abstractNumId w:val="26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3"/>
  </w:num>
  <w:num w:numId="22">
    <w:abstractNumId w:val="29"/>
  </w:num>
  <w:num w:numId="23">
    <w:abstractNumId w:val="12"/>
  </w:num>
  <w:num w:numId="24">
    <w:abstractNumId w:val="3"/>
  </w:num>
  <w:num w:numId="25">
    <w:abstractNumId w:val="32"/>
  </w:num>
  <w:num w:numId="26">
    <w:abstractNumId w:val="9"/>
  </w:num>
  <w:num w:numId="27">
    <w:abstractNumId w:val="35"/>
  </w:num>
  <w:num w:numId="28">
    <w:abstractNumId w:val="8"/>
  </w:num>
  <w:num w:numId="29">
    <w:abstractNumId w:val="10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7"/>
  </w:num>
  <w:num w:numId="34">
    <w:abstractNumId w:val="3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27"/>
  </w:num>
  <w:num w:numId="39">
    <w:abstractNumId w:val="4"/>
  </w:num>
  <w:num w:numId="40">
    <w:abstractNumId w:val="14"/>
  </w:num>
  <w:num w:numId="41">
    <w:abstractNumId w:val="11"/>
  </w:num>
  <w:num w:numId="42">
    <w:abstractNumId w:val="7"/>
  </w:num>
  <w:num w:numId="43">
    <w:abstractNumId w:val="28"/>
  </w:num>
  <w:num w:numId="44">
    <w:abstractNumId w:val="1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11F8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05C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4D1A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0163"/>
    <w:rsid w:val="00205303"/>
    <w:rsid w:val="00206688"/>
    <w:rsid w:val="00207371"/>
    <w:rsid w:val="002169F0"/>
    <w:rsid w:val="00222139"/>
    <w:rsid w:val="002253EC"/>
    <w:rsid w:val="002347E9"/>
    <w:rsid w:val="00240438"/>
    <w:rsid w:val="00242FE6"/>
    <w:rsid w:val="00243BFA"/>
    <w:rsid w:val="0024526F"/>
    <w:rsid w:val="00251C05"/>
    <w:rsid w:val="00254C5C"/>
    <w:rsid w:val="00255CF5"/>
    <w:rsid w:val="0025609B"/>
    <w:rsid w:val="00257FC6"/>
    <w:rsid w:val="00260D76"/>
    <w:rsid w:val="00271672"/>
    <w:rsid w:val="0027310A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236B4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A20"/>
    <w:rsid w:val="00377422"/>
    <w:rsid w:val="00380803"/>
    <w:rsid w:val="0038604F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36DC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5E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441F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139E6"/>
    <w:rsid w:val="00520A0D"/>
    <w:rsid w:val="0052268F"/>
    <w:rsid w:val="00523344"/>
    <w:rsid w:val="00525219"/>
    <w:rsid w:val="00525286"/>
    <w:rsid w:val="005508E1"/>
    <w:rsid w:val="00551412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0677D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07A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F29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AAE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75F4"/>
    <w:rsid w:val="009B3333"/>
    <w:rsid w:val="009B4A72"/>
    <w:rsid w:val="009B5263"/>
    <w:rsid w:val="009C6C41"/>
    <w:rsid w:val="009D6698"/>
    <w:rsid w:val="009E18ED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1965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6981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02D6F"/>
    <w:rsid w:val="00C24910"/>
    <w:rsid w:val="00C249A6"/>
    <w:rsid w:val="00C272EB"/>
    <w:rsid w:val="00C31F6D"/>
    <w:rsid w:val="00C32354"/>
    <w:rsid w:val="00C3399A"/>
    <w:rsid w:val="00C3487C"/>
    <w:rsid w:val="00C36A08"/>
    <w:rsid w:val="00C4129B"/>
    <w:rsid w:val="00C4617C"/>
    <w:rsid w:val="00C621F7"/>
    <w:rsid w:val="00C62211"/>
    <w:rsid w:val="00C622D2"/>
    <w:rsid w:val="00C65BE3"/>
    <w:rsid w:val="00C6704E"/>
    <w:rsid w:val="00C75777"/>
    <w:rsid w:val="00C7689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BF7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472E2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216D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4464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36BF"/>
    <w:rsid w:val="00F85F58"/>
    <w:rsid w:val="00F874D2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1D660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uiPriority w:val="99"/>
    <w:rsid w:val="002B3CDC"/>
    <w:rPr>
      <w:rFonts w:cs="Times New Roman"/>
    </w:rPr>
  </w:style>
  <w:style w:type="character" w:customStyle="1" w:styleId="style19">
    <w:name w:val="style19"/>
    <w:uiPriority w:val="99"/>
    <w:rsid w:val="002B3CDC"/>
    <w:rPr>
      <w:rFonts w:cs="Times New Roman"/>
    </w:rPr>
  </w:style>
  <w:style w:type="character" w:customStyle="1" w:styleId="grame">
    <w:name w:val="grame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uiPriority w:val="99"/>
    <w:rsid w:val="00DA556E"/>
    <w:rPr>
      <w:rFonts w:cs="Times New Roman"/>
    </w:rPr>
  </w:style>
  <w:style w:type="paragraph" w:customStyle="1" w:styleId="Default">
    <w:name w:val="Default"/>
    <w:uiPriority w:val="99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uiPriority w:val="99"/>
    <w:semiHidden/>
    <w:rsid w:val="00CA74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748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748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74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7480"/>
    <w:rPr>
      <w:rFonts w:cs="Times New Roman"/>
      <w:b/>
      <w:bCs/>
    </w:rPr>
  </w:style>
  <w:style w:type="paragraph" w:styleId="Lista">
    <w:name w:val="List"/>
    <w:basedOn w:val="Normalny"/>
    <w:uiPriority w:val="99"/>
    <w:semiHidden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99"/>
    <w:qFormat/>
    <w:rsid w:val="00C026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403E7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Zwykytekst">
    <w:name w:val="Plain Text"/>
    <w:basedOn w:val="Normalny"/>
    <w:link w:val="ZwykytekstZnak"/>
    <w:uiPriority w:val="99"/>
    <w:rsid w:val="00E84464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E84464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Teksttreci">
    <w:name w:val="Tekst treści_"/>
    <w:link w:val="Teksttreci0"/>
    <w:uiPriority w:val="99"/>
    <w:locked/>
    <w:rsid w:val="00194D1A"/>
    <w:rPr>
      <w:rFonts w:ascii="Lucida Sans Unicode" w:eastAsia="Times New Roman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94D1A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hAnsi="Lucida Sans Unicode" w:cs="Lucida Sans Unicode"/>
      <w:sz w:val="20"/>
    </w:rPr>
  </w:style>
  <w:style w:type="character" w:customStyle="1" w:styleId="TeksttreciTimesNewRoman">
    <w:name w:val="Tekst treści + Times New Roman"/>
    <w:aliases w:val="Bez pogrubienia,Odstępy 0 pt"/>
    <w:uiPriority w:val="99"/>
    <w:rsid w:val="00194D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19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53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15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5399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wroblewski@uwm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1920</Words>
  <Characters>11523</Characters>
  <Application>Microsoft Office Word</Application>
  <DocSecurity>0</DocSecurity>
  <Lines>96</Lines>
  <Paragraphs>26</Paragraphs>
  <ScaleCrop>false</ScaleCrop>
  <Company>UWM w Olsztynie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Zygmunt</cp:lastModifiedBy>
  <cp:revision>9</cp:revision>
  <cp:lastPrinted>2015-03-18T09:29:00Z</cp:lastPrinted>
  <dcterms:created xsi:type="dcterms:W3CDTF">2018-02-16T09:28:00Z</dcterms:created>
  <dcterms:modified xsi:type="dcterms:W3CDTF">2020-06-21T15:06:00Z</dcterms:modified>
</cp:coreProperties>
</file>