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DFD1" w14:textId="77777777" w:rsidR="003C076D" w:rsidRPr="00C757FF" w:rsidRDefault="003C076D" w:rsidP="003C076D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eastAsia="TimesNewRomanPS-BoldMT" w:hAnsi="Verdana"/>
          <w:b/>
          <w:color w:val="000000"/>
          <w:sz w:val="20"/>
          <w:szCs w:val="20"/>
        </w:rPr>
      </w:pPr>
      <w:bookmarkStart w:id="0" w:name="_Hlk90295005"/>
      <w:bookmarkStart w:id="1" w:name="_Hlk84961142"/>
      <w:r w:rsidRPr="00C757FF">
        <w:rPr>
          <w:rFonts w:ascii="Verdana" w:eastAsia="TimesNewRomanPSMT" w:hAnsi="Verdana"/>
          <w:b/>
          <w:bCs/>
          <w:color w:val="000000" w:themeColor="text1"/>
          <w:sz w:val="20"/>
          <w:szCs w:val="20"/>
        </w:rPr>
        <w:t>Szczegółowy</w:t>
      </w:r>
      <w:r w:rsidRPr="00C757FF"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  <w:t xml:space="preserve"> opis przedmiotu zamówienia </w:t>
      </w:r>
      <w:bookmarkEnd w:id="0"/>
      <w:r w:rsidRPr="00C757FF"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  <w:t>(OPZ)</w:t>
      </w:r>
    </w:p>
    <w:p w14:paraId="7C6A27B8" w14:textId="77777777" w:rsidR="003C076D" w:rsidRPr="00C757FF" w:rsidRDefault="003C076D" w:rsidP="003C076D">
      <w:pPr>
        <w:pStyle w:val="Akapitzlist"/>
        <w:spacing w:after="0" w:line="360" w:lineRule="auto"/>
        <w:ind w:left="0"/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</w:pPr>
    </w:p>
    <w:p w14:paraId="0F82B309" w14:textId="612CFF0D" w:rsidR="003C076D" w:rsidRPr="00C757FF" w:rsidRDefault="00044C30" w:rsidP="003C076D">
      <w:pPr>
        <w:pStyle w:val="Akapitzlist"/>
        <w:spacing w:after="0" w:line="276" w:lineRule="auto"/>
        <w:ind w:left="0"/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</w:pPr>
      <w:r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  <w:t>Charakterystyka Zamawiającego</w:t>
      </w:r>
    </w:p>
    <w:p w14:paraId="241B170B" w14:textId="77777777" w:rsidR="003C076D" w:rsidRPr="00C757FF" w:rsidRDefault="003C076D" w:rsidP="003C076D">
      <w:pPr>
        <w:pStyle w:val="Akapitzlist"/>
        <w:spacing w:after="0" w:line="276" w:lineRule="auto"/>
        <w:ind w:left="0"/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</w:pPr>
    </w:p>
    <w:p w14:paraId="3E4FD25E" w14:textId="45E575D2" w:rsidR="003C076D" w:rsidRPr="00C757FF" w:rsidRDefault="00044C30" w:rsidP="002F5EFD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Verdana" w:eastAsia="TimesNewRomanPS-BoldMT" w:hAnsi="Verdana"/>
          <w:color w:val="000000"/>
          <w:sz w:val="20"/>
          <w:szCs w:val="20"/>
        </w:rPr>
      </w:pPr>
      <w:r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Centrum Łukasiewicz jest podmiotem </w:t>
      </w:r>
      <w:r w:rsidRPr="002F5EFD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planującym i koordynującym badania naukowe </w:t>
      </w:r>
      <w:r w:rsidR="00610FE7">
        <w:rPr>
          <w:rFonts w:ascii="Verdana" w:eastAsia="TimesNewRomanPS-BoldMT" w:hAnsi="Verdana"/>
          <w:color w:val="000000" w:themeColor="text1"/>
          <w:sz w:val="20"/>
          <w:szCs w:val="20"/>
        </w:rPr>
        <w:br/>
      </w:r>
      <w:r w:rsidRPr="002F5EFD">
        <w:rPr>
          <w:rFonts w:ascii="Verdana" w:eastAsia="TimesNewRomanPS-BoldMT" w:hAnsi="Verdana"/>
          <w:color w:val="000000" w:themeColor="text1"/>
          <w:sz w:val="20"/>
          <w:szCs w:val="20"/>
        </w:rPr>
        <w:t>i prace rozwojow</w:t>
      </w:r>
      <w:r w:rsidR="00451D25" w:rsidRPr="002F5EFD">
        <w:rPr>
          <w:rFonts w:ascii="Verdana" w:eastAsia="TimesNewRomanPS-BoldMT" w:hAnsi="Verdana"/>
          <w:color w:val="000000" w:themeColor="text1"/>
          <w:sz w:val="20"/>
          <w:szCs w:val="20"/>
        </w:rPr>
        <w:t>e w Sieci Badawczej Łukasiewicz. W ramach Sieci działają</w:t>
      </w:r>
      <w:r w:rsidRPr="00C757FF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 </w:t>
      </w:r>
      <w:r w:rsidR="00451D25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Centrum Łukasiewicz i instytuty Sieci Badawczej Łukasiewicz. </w:t>
      </w:r>
      <w:r w:rsidR="003C076D" w:rsidRPr="00C757FF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Sieć Badawcza Łukasiewicz zamierza zostać liderem B+R i komercjalizacji wśród organizacji badawczych w Polsce. Łukasiewicz dostarcza atrakcyjne, kompletne i konkurencyjne rozwiązania technologiczne. Oferuje biznesowi unikalny system „rzucania wyzwań”, dzięki któremu grupa 4 500 naukowców przyjmuje wyzwanie biznesowe i </w:t>
      </w:r>
      <w:r w:rsidR="00C73C05" w:rsidRPr="00C757FF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w nie więcej niż 15 dni roboczych </w:t>
      </w:r>
      <w:r w:rsidR="003C076D" w:rsidRPr="00C757FF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proponuje przedsiębiorcy opracowanie skutecznego rozwiązania wdrożeniowego. Angażuje przy tym najwyższe w Polsce kompetencje naukowców i unikalną w skali kraju aparaturę naukową. Co najważniejsze – przedsiębiorca nie ponosi żadnych kosztów związanych z opracowaniem pomysłu na prace badawcze. Łukasiewicz w dogodny sposób wychodzi naprzeciw oczekiwaniom biznesu. Przedsiębiorca może zdecydować się na kontakt nie tylko przez formularz na stronie </w:t>
      </w:r>
      <w:hyperlink r:id="rId5" w:history="1">
        <w:r w:rsidR="003C076D" w:rsidRPr="00C757FF">
          <w:rPr>
            <w:rStyle w:val="Hipercze"/>
            <w:rFonts w:ascii="Verdana" w:eastAsia="TimesNewRomanPS-BoldMT" w:hAnsi="Verdana"/>
            <w:sz w:val="20"/>
            <w:szCs w:val="20"/>
          </w:rPr>
          <w:t>https://lukasiewicz.gov.pl/biznes/</w:t>
        </w:r>
      </w:hyperlink>
      <w:r w:rsidR="003C076D" w:rsidRPr="00C757FF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 ale także w ponad 50 lokalizacjach: Instytutach Łukasiewicza i ich oddziałach w całej Polsce. Wszędzie otrzyma ten sam – wysokiej jakości – produkt lub usługę. Potencjał Łukasiewicza skupia się wokół takich obszarów badawczych jak: zdrowie,</w:t>
      </w:r>
      <w:r w:rsidR="003C076D" w:rsidRPr="00C757FF" w:rsidDel="005779D2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 </w:t>
      </w:r>
      <w:r w:rsidR="003C076D" w:rsidRPr="00C757FF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inteligentna  i czysta mobilność, transformacja cyfrowa oraz zrównoważona gospodarka i energia. Więcej informacji o Łukasiewiczu na stronie www.lukasiewicz.gov.pl oraz w Raporcie dostępnym pod linkiem: </w:t>
      </w:r>
      <w:hyperlink r:id="rId6" w:history="1">
        <w:r w:rsidR="003C076D" w:rsidRPr="00C757FF">
          <w:rPr>
            <w:rStyle w:val="Hipercze"/>
            <w:rFonts w:ascii="Verdana" w:eastAsia="TimesNewRomanPS-BoldMT" w:hAnsi="Verdana"/>
            <w:sz w:val="20"/>
            <w:szCs w:val="20"/>
          </w:rPr>
          <w:t>https://lukasiewicz.gov.pl/images/Raport-Lukasiewicza-2019-2020-Nauka-dla-Przyszlosci.pdf</w:t>
        </w:r>
      </w:hyperlink>
      <w:r w:rsidR="003C076D" w:rsidRPr="00C757FF">
        <w:rPr>
          <w:rFonts w:ascii="Verdana" w:eastAsia="TimesNewRomanPS-BoldMT" w:hAnsi="Verdana"/>
          <w:color w:val="000000" w:themeColor="text1"/>
          <w:sz w:val="20"/>
          <w:szCs w:val="20"/>
        </w:rPr>
        <w:t xml:space="preserve"> </w:t>
      </w:r>
    </w:p>
    <w:p w14:paraId="17464408" w14:textId="77777777" w:rsidR="003C076D" w:rsidRPr="00C757FF" w:rsidRDefault="003C076D" w:rsidP="003C076D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Verdana" w:hAnsi="Verdana" w:cstheme="minorHAnsi"/>
          <w:sz w:val="20"/>
          <w:szCs w:val="20"/>
          <w:lang w:eastAsia="pl-PL"/>
        </w:rPr>
      </w:pPr>
    </w:p>
    <w:p w14:paraId="7DAC9F40" w14:textId="77777777" w:rsidR="003C076D" w:rsidRPr="00C757FF" w:rsidRDefault="003C076D" w:rsidP="003C076D">
      <w:pPr>
        <w:spacing w:after="0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C757FF">
        <w:rPr>
          <w:rFonts w:ascii="Verdana" w:eastAsia="Times New Roman" w:hAnsi="Verdana" w:cstheme="minorHAnsi"/>
          <w:sz w:val="20"/>
          <w:szCs w:val="20"/>
          <w:lang w:eastAsia="pl-PL"/>
        </w:rPr>
        <w:t>Główne cele strategiczne Sieci Badawczej Łukasiewicz:</w:t>
      </w:r>
    </w:p>
    <w:p w14:paraId="095300CA" w14:textId="76BC1A32" w:rsidR="003C076D" w:rsidRPr="00531D78" w:rsidRDefault="003C076D" w:rsidP="00531D7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531D7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zostanie liderem B+R i komercjalizacji w Polsce wśród organizacji badawczych we wszystkich 4 kluczowych obszarach działalności, </w:t>
      </w:r>
    </w:p>
    <w:p w14:paraId="76B8DF94" w14:textId="4540F184" w:rsidR="003C076D" w:rsidRPr="00531D78" w:rsidRDefault="003C076D" w:rsidP="00531D78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531D78">
        <w:rPr>
          <w:rFonts w:ascii="Verdana" w:eastAsia="Times New Roman" w:hAnsi="Verdana" w:cstheme="minorHAnsi"/>
          <w:sz w:val="20"/>
          <w:szCs w:val="20"/>
          <w:lang w:eastAsia="pl-PL"/>
        </w:rPr>
        <w:t>wspieranie innowacyjności polskiego biznesu i uzyskanie przez niego przewagi nad globalną</w:t>
      </w:r>
      <w:r w:rsidR="00531D78" w:rsidRPr="00531D7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531D7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konkurencją, budowanie silnych powiązań ze światem nauki za granicą, </w:t>
      </w:r>
    </w:p>
    <w:p w14:paraId="42ED5D3A" w14:textId="585950A8" w:rsidR="003C076D" w:rsidRPr="00531D78" w:rsidRDefault="003C076D" w:rsidP="00531D78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531D78">
        <w:rPr>
          <w:rFonts w:ascii="Verdana" w:eastAsia="Times New Roman" w:hAnsi="Verdana" w:cstheme="minorHAnsi"/>
          <w:sz w:val="20"/>
          <w:szCs w:val="20"/>
          <w:lang w:eastAsia="pl-PL"/>
        </w:rPr>
        <w:t>stworzenie atrakcyjnego miejsca pracy dla ludzi z pasją, którzy chcą aby ich pomysły stały się biznesem,</w:t>
      </w:r>
    </w:p>
    <w:p w14:paraId="4E97A512" w14:textId="32EAECCB" w:rsidR="003C076D" w:rsidRPr="00531D78" w:rsidRDefault="003C076D" w:rsidP="00531D78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531D7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wzrost gospodarki opartej o wiedzę i nowoczesne technologie poprzez zwiększenie nakładów </w:t>
      </w:r>
      <w:r w:rsidRPr="00531D78">
        <w:rPr>
          <w:rFonts w:ascii="Verdana" w:eastAsia="Times New Roman" w:hAnsi="Verdana"/>
          <w:sz w:val="20"/>
          <w:szCs w:val="20"/>
          <w:lang w:eastAsia="pl-PL"/>
        </w:rPr>
        <w:t>polskich firm na B+R i komercjalizację wyników badań.</w:t>
      </w:r>
    </w:p>
    <w:p w14:paraId="2AA47E5B" w14:textId="77777777" w:rsidR="003C076D" w:rsidRPr="00C757FF" w:rsidRDefault="003C076D" w:rsidP="003C076D">
      <w:pPr>
        <w:spacing w:before="100" w:beforeAutospacing="1" w:after="100" w:afterAutospacing="1"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C757FF">
        <w:rPr>
          <w:rFonts w:ascii="Verdana" w:eastAsia="Times New Roman" w:hAnsi="Verdana" w:cstheme="minorHAnsi"/>
          <w:sz w:val="20"/>
          <w:szCs w:val="20"/>
          <w:lang w:eastAsia="pl-PL"/>
        </w:rPr>
        <w:t>Elementem stanowiącym odzwierciedlenie charakteru i specyfiki działalności Łukasiewicza jest znak, który stanowi graficzną syntezę kluczowych dla marki skojarzeń: litery  „Ł”</w:t>
      </w:r>
      <w:r w:rsidRPr="00C757FF" w:rsidDel="0055572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C757FF">
        <w:rPr>
          <w:rFonts w:ascii="Verdana" w:eastAsia="Times New Roman" w:hAnsi="Verdana" w:cstheme="minorHAnsi"/>
          <w:sz w:val="20"/>
          <w:szCs w:val="20"/>
          <w:lang w:eastAsia="pl-PL"/>
        </w:rPr>
        <w:t>nazwiska  Ignacego Łukasiewicza, mikroskopu jako naukowego atrybutu oraz labiryntu jako drogi poszukiwań, zwieńczonej olśnieniem.</w:t>
      </w:r>
    </w:p>
    <w:p w14:paraId="0390223C" w14:textId="77777777" w:rsidR="003C076D" w:rsidRPr="00C757FF" w:rsidRDefault="003C076D" w:rsidP="003C076D">
      <w:pPr>
        <w:spacing w:before="100" w:beforeAutospacing="1" w:after="100" w:afterAutospacing="1" w:line="36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C757FF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 wp14:anchorId="65152EF5" wp14:editId="6097EEFF">
            <wp:extent cx="5750779" cy="24860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900" cy="24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FB9D" w14:textId="77777777" w:rsidR="003C076D" w:rsidRPr="00C757FF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  <w:r w:rsidRPr="00C757FF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>Informacje ogólne o przedmiocie zamówienia</w:t>
      </w:r>
    </w:p>
    <w:p w14:paraId="3B2A8922" w14:textId="77777777" w:rsidR="003C076D" w:rsidRPr="00C757FF" w:rsidRDefault="003C076D" w:rsidP="003C076D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</w:p>
    <w:p w14:paraId="0938A909" w14:textId="4D3F5233" w:rsidR="003C076D" w:rsidRDefault="003C076D" w:rsidP="009249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57FF">
        <w:rPr>
          <w:rFonts w:ascii="Verdana" w:hAnsi="Verdana"/>
          <w:sz w:val="20"/>
          <w:szCs w:val="20"/>
        </w:rPr>
        <w:t xml:space="preserve">Przedmiotem zamówienia jest wsparcie Centrum Łukasiewicz w </w:t>
      </w:r>
      <w:bookmarkStart w:id="2" w:name="_Hlk90294864"/>
      <w:r w:rsidRPr="00C757FF">
        <w:rPr>
          <w:rFonts w:ascii="Verdana" w:hAnsi="Verdana" w:cs="Times New Roman"/>
          <w:sz w:val="20"/>
          <w:szCs w:val="20"/>
        </w:rPr>
        <w:t xml:space="preserve">realizacji działań </w:t>
      </w:r>
      <w:bookmarkStart w:id="3" w:name="_Hlk90311783"/>
      <w:r w:rsidRPr="00C757FF">
        <w:rPr>
          <w:rFonts w:ascii="Verdana" w:hAnsi="Verdana" w:cs="Times New Roman"/>
          <w:sz w:val="20"/>
          <w:szCs w:val="20"/>
        </w:rPr>
        <w:t xml:space="preserve">edukacyjno – informacyjno – promocyjnych </w:t>
      </w:r>
      <w:bookmarkEnd w:id="3"/>
      <w:r w:rsidRPr="00C757FF">
        <w:rPr>
          <w:rFonts w:ascii="Verdana" w:hAnsi="Verdana" w:cs="Times New Roman"/>
          <w:sz w:val="20"/>
          <w:szCs w:val="20"/>
        </w:rPr>
        <w:t xml:space="preserve">na rzecz marki </w:t>
      </w:r>
      <w:r w:rsidRPr="00C757FF">
        <w:rPr>
          <w:rFonts w:ascii="Verdana" w:hAnsi="Verdana"/>
          <w:sz w:val="20"/>
          <w:szCs w:val="20"/>
        </w:rPr>
        <w:t xml:space="preserve">Łukasiewicz </w:t>
      </w:r>
      <w:bookmarkEnd w:id="2"/>
      <w:r w:rsidRPr="00C757FF">
        <w:rPr>
          <w:rFonts w:ascii="Verdana" w:hAnsi="Verdana"/>
          <w:sz w:val="20"/>
          <w:szCs w:val="20"/>
        </w:rPr>
        <w:t>poprzez:</w:t>
      </w:r>
    </w:p>
    <w:p w14:paraId="131321EC" w14:textId="77777777" w:rsidR="003A5EC0" w:rsidRPr="003A5EC0" w:rsidRDefault="003A5EC0" w:rsidP="009249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5EC0">
        <w:rPr>
          <w:rFonts w:ascii="Verdana" w:hAnsi="Verdana"/>
          <w:sz w:val="20"/>
          <w:szCs w:val="20"/>
        </w:rPr>
        <w:t>1)</w:t>
      </w:r>
      <w:r w:rsidRPr="003A5EC0">
        <w:rPr>
          <w:rFonts w:ascii="Verdana" w:hAnsi="Verdana"/>
          <w:sz w:val="20"/>
          <w:szCs w:val="20"/>
        </w:rPr>
        <w:tab/>
        <w:t>rekomendowanie działań komunikacyjnych, przygotowanie planów aktywności medialnej i eventowej (mediaplanów) i ich wykonywanie,</w:t>
      </w:r>
    </w:p>
    <w:p w14:paraId="11415063" w14:textId="3B652974" w:rsidR="003A5EC0" w:rsidRPr="00C757FF" w:rsidRDefault="003A5EC0" w:rsidP="009249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5EC0">
        <w:rPr>
          <w:rFonts w:ascii="Verdana" w:hAnsi="Verdana"/>
          <w:sz w:val="20"/>
          <w:szCs w:val="20"/>
        </w:rPr>
        <w:t>2)</w:t>
      </w:r>
      <w:r w:rsidRPr="003A5EC0">
        <w:rPr>
          <w:rFonts w:ascii="Verdana" w:hAnsi="Verdana"/>
          <w:sz w:val="20"/>
          <w:szCs w:val="20"/>
        </w:rPr>
        <w:tab/>
        <w:t xml:space="preserve">opracowanie </w:t>
      </w:r>
      <w:r w:rsidR="0092498D">
        <w:rPr>
          <w:rFonts w:ascii="Verdana" w:hAnsi="Verdana"/>
          <w:sz w:val="20"/>
          <w:szCs w:val="20"/>
        </w:rPr>
        <w:t xml:space="preserve">do </w:t>
      </w:r>
      <w:r w:rsidRPr="003A5EC0">
        <w:rPr>
          <w:rFonts w:ascii="Verdana" w:hAnsi="Verdana"/>
          <w:sz w:val="20"/>
          <w:szCs w:val="20"/>
        </w:rPr>
        <w:t>2 koncepcji linii kreatywnych (KVs</w:t>
      </w:r>
      <w:r w:rsidR="0092498D">
        <w:rPr>
          <w:rFonts w:ascii="Verdana" w:hAnsi="Verdana"/>
          <w:sz w:val="20"/>
          <w:szCs w:val="20"/>
        </w:rPr>
        <w:t xml:space="preserve"> reklamy statycznej</w:t>
      </w:r>
      <w:r w:rsidRPr="003A5EC0">
        <w:rPr>
          <w:rFonts w:ascii="Verdana" w:hAnsi="Verdana"/>
          <w:sz w:val="20"/>
          <w:szCs w:val="20"/>
        </w:rPr>
        <w:t xml:space="preserve">) uwzględniających identyfikację wizualną Zamawiającego, do komunikacji w internecie </w:t>
      </w:r>
      <w:r w:rsidR="0092498D">
        <w:rPr>
          <w:rFonts w:ascii="Verdana" w:hAnsi="Verdana"/>
          <w:sz w:val="20"/>
          <w:szCs w:val="20"/>
        </w:rPr>
        <w:br/>
      </w:r>
      <w:r w:rsidRPr="003A5EC0">
        <w:rPr>
          <w:rFonts w:ascii="Verdana" w:hAnsi="Verdana"/>
          <w:sz w:val="20"/>
          <w:szCs w:val="20"/>
        </w:rPr>
        <w:t>i prasie tradycyjnej oraz dokonanie do 100 przeformatowań na potrzeby wykorzystania wybranego przez Zamawiającego KV w mediach elektronicznych i tradycyjnych.</w:t>
      </w:r>
    </w:p>
    <w:p w14:paraId="01F58739" w14:textId="1BA0DD37" w:rsidR="003C076D" w:rsidRDefault="003C076D" w:rsidP="0092498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BD94952" w14:textId="497F3E16" w:rsidR="00B01C5C" w:rsidRPr="003C076D" w:rsidRDefault="00B01C5C" w:rsidP="00B01C5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3C076D">
        <w:rPr>
          <w:rFonts w:ascii="Verdana" w:hAnsi="Verdana" w:cs="Times New Roman"/>
          <w:bCs/>
          <w:sz w:val="20"/>
          <w:szCs w:val="20"/>
        </w:rPr>
        <w:t>Rozpoczęcie działań komunikacyjnych</w:t>
      </w:r>
      <w:r w:rsidR="001E6657">
        <w:rPr>
          <w:rFonts w:ascii="Verdana" w:hAnsi="Verdana" w:cs="Times New Roman"/>
          <w:bCs/>
          <w:sz w:val="20"/>
          <w:szCs w:val="20"/>
        </w:rPr>
        <w:t xml:space="preserve"> od dnia zawarcia umowy</w:t>
      </w:r>
      <w:r w:rsidR="0092498D">
        <w:rPr>
          <w:rFonts w:ascii="Verdana" w:hAnsi="Verdana" w:cs="Times New Roman"/>
          <w:bCs/>
          <w:sz w:val="20"/>
          <w:szCs w:val="20"/>
        </w:rPr>
        <w:t>.</w:t>
      </w:r>
    </w:p>
    <w:p w14:paraId="19DE8FD4" w14:textId="77777777" w:rsidR="00B01C5C" w:rsidRPr="003C076D" w:rsidRDefault="00B01C5C" w:rsidP="00B01C5C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3C076D">
        <w:rPr>
          <w:rFonts w:ascii="Verdana" w:hAnsi="Verdana" w:cs="Times New Roman"/>
          <w:bCs/>
          <w:sz w:val="20"/>
          <w:szCs w:val="20"/>
        </w:rPr>
        <w:t>Zakończenie działań komunikacyjnych: nie później niż 15 grudnia 2022 roku</w:t>
      </w:r>
    </w:p>
    <w:p w14:paraId="1318E899" w14:textId="77777777" w:rsidR="00B01C5C" w:rsidRPr="00C757FF" w:rsidRDefault="00B01C5C" w:rsidP="003C076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3514FB4" w14:textId="77777777" w:rsidR="003C076D" w:rsidRPr="00C757FF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  <w:r w:rsidRPr="00C757FF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>Cel zamówienia</w:t>
      </w:r>
    </w:p>
    <w:p w14:paraId="216B7680" w14:textId="77777777" w:rsidR="003C076D" w:rsidRPr="00C757FF" w:rsidRDefault="003C076D" w:rsidP="003C076D">
      <w:pPr>
        <w:autoSpaceDE w:val="0"/>
        <w:autoSpaceDN w:val="0"/>
        <w:adjustRightInd w:val="0"/>
        <w:spacing w:after="0" w:line="276" w:lineRule="auto"/>
        <w:rPr>
          <w:rFonts w:ascii="Verdana" w:eastAsia="TimesNewRomanPSMT" w:hAnsi="Verdana" w:cstheme="minorHAnsi"/>
          <w:color w:val="000000"/>
          <w:sz w:val="20"/>
          <w:szCs w:val="20"/>
        </w:rPr>
      </w:pPr>
    </w:p>
    <w:p w14:paraId="32ADC945" w14:textId="7D698F59" w:rsidR="003C076D" w:rsidRDefault="003C076D" w:rsidP="009249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617D6" w:rsidDel="004B105D">
        <w:rPr>
          <w:rFonts w:ascii="Verdana" w:eastAsia="TimesNewRomanPSMT" w:hAnsi="Verdana"/>
          <w:color w:val="000000" w:themeColor="text1"/>
          <w:sz w:val="20"/>
          <w:szCs w:val="20"/>
        </w:rPr>
        <w:t xml:space="preserve">Celem </w:t>
      </w:r>
      <w:r w:rsidRPr="00E617D6" w:rsidDel="00C17F33">
        <w:rPr>
          <w:rFonts w:ascii="Verdana" w:eastAsia="TimesNewRomanPSMT" w:hAnsi="Verdana"/>
          <w:color w:val="000000" w:themeColor="text1"/>
          <w:sz w:val="20"/>
          <w:szCs w:val="20"/>
        </w:rPr>
        <w:t xml:space="preserve">realizacji </w:t>
      </w:r>
      <w:r w:rsidRPr="00E617D6">
        <w:rPr>
          <w:rFonts w:ascii="Verdana" w:eastAsia="TimesNewRomanPSMT" w:hAnsi="Verdana"/>
          <w:color w:val="000000" w:themeColor="text1"/>
          <w:sz w:val="20"/>
          <w:szCs w:val="20"/>
        </w:rPr>
        <w:t>komunikacji jest</w:t>
      </w:r>
      <w:r w:rsidRPr="00E617D6" w:rsidDel="00DD49CC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="00C757FF" w:rsidRPr="00E617D6">
        <w:rPr>
          <w:rFonts w:ascii="Verdana" w:hAnsi="Verdana" w:cs="Verdana"/>
          <w:sz w:val="20"/>
          <w:szCs w:val="20"/>
        </w:rPr>
        <w:t>kreowanie silnej marki Łukasiewicz o jednoznacznych skojarzeniach eksperckich i biznesowych</w:t>
      </w:r>
      <w:r w:rsidR="00E617D6">
        <w:rPr>
          <w:rFonts w:ascii="Verdana" w:hAnsi="Verdana" w:cs="Verdana"/>
          <w:sz w:val="20"/>
          <w:szCs w:val="20"/>
        </w:rPr>
        <w:t xml:space="preserve"> w kluczowych grupach docelowych</w:t>
      </w:r>
      <w:r w:rsidR="00C757FF" w:rsidRPr="00E617D6">
        <w:rPr>
          <w:rFonts w:ascii="Verdana" w:hAnsi="Verdana" w:cs="Verdana"/>
          <w:sz w:val="20"/>
          <w:szCs w:val="20"/>
        </w:rPr>
        <w:t>.</w:t>
      </w:r>
      <w:r w:rsidR="00E617D6" w:rsidRPr="00E617D6">
        <w:rPr>
          <w:rFonts w:ascii="Verdana" w:hAnsi="Verdana" w:cs="Verdana"/>
          <w:sz w:val="20"/>
          <w:szCs w:val="20"/>
        </w:rPr>
        <w:t xml:space="preserve"> Działania powinny uwzględniać obchody 200-lecia urodzin Ignacego Łukasiewicza.</w:t>
      </w:r>
    </w:p>
    <w:p w14:paraId="55AD4A22" w14:textId="77777777" w:rsidR="0092498D" w:rsidRPr="00E617D6" w:rsidRDefault="0092498D" w:rsidP="009249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00F1B75" w14:textId="77777777" w:rsidR="003C076D" w:rsidRPr="00C757FF" w:rsidRDefault="003C076D" w:rsidP="003C076D">
      <w:pPr>
        <w:autoSpaceDE w:val="0"/>
        <w:autoSpaceDN w:val="0"/>
        <w:adjustRightInd w:val="0"/>
        <w:spacing w:after="0" w:line="276" w:lineRule="auto"/>
        <w:rPr>
          <w:rFonts w:ascii="Verdana" w:eastAsia="TimesNewRomanPSMT" w:hAnsi="Verdana" w:cstheme="minorHAnsi"/>
          <w:color w:val="000000"/>
          <w:sz w:val="20"/>
          <w:szCs w:val="20"/>
        </w:rPr>
      </w:pPr>
    </w:p>
    <w:p w14:paraId="0A93F18F" w14:textId="5473381B" w:rsidR="003C076D" w:rsidRPr="00C757FF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  <w:bookmarkStart w:id="4" w:name="_Hlk90294791"/>
      <w:bookmarkStart w:id="5" w:name="_Hlk90294770"/>
      <w:r w:rsidRPr="00C757FF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>Grup</w:t>
      </w:r>
      <w:r w:rsidR="00C757FF" w:rsidRPr="00C757FF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>y</w:t>
      </w:r>
      <w:r w:rsidRPr="00C757FF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 xml:space="preserve"> docelow</w:t>
      </w:r>
      <w:r w:rsidR="00C757FF" w:rsidRPr="00C757FF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>e w komunikacji</w:t>
      </w:r>
      <w:r w:rsidRPr="00C757FF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 xml:space="preserve"> Łukasiewicza</w:t>
      </w:r>
      <w:bookmarkEnd w:id="4"/>
    </w:p>
    <w:bookmarkEnd w:id="5"/>
    <w:p w14:paraId="68A6AFD9" w14:textId="77777777" w:rsidR="003C076D" w:rsidRPr="004B3D9C" w:rsidRDefault="003C076D" w:rsidP="004B3D9C">
      <w:pPr>
        <w:autoSpaceDE w:val="0"/>
        <w:autoSpaceDN w:val="0"/>
        <w:adjustRightInd w:val="0"/>
        <w:spacing w:after="0" w:line="276" w:lineRule="auto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</w:p>
    <w:p w14:paraId="5DB4FAD0" w14:textId="3EB9EA98" w:rsidR="003C076D" w:rsidRPr="00E617D6" w:rsidRDefault="00C757FF" w:rsidP="009249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Calibri"/>
          <w:sz w:val="20"/>
          <w:szCs w:val="20"/>
        </w:rPr>
      </w:pPr>
      <w:r w:rsidRPr="00E617D6">
        <w:rPr>
          <w:rFonts w:ascii="Verdana" w:eastAsia="TimesNewRomanPSMT" w:hAnsi="Verdana"/>
          <w:color w:val="000000" w:themeColor="text1"/>
          <w:sz w:val="20"/>
          <w:szCs w:val="20"/>
        </w:rPr>
        <w:t>Kluczową g</w:t>
      </w:r>
      <w:r w:rsidR="003C076D" w:rsidRPr="00E617D6">
        <w:rPr>
          <w:rFonts w:ascii="Verdana" w:hAnsi="Verdana"/>
          <w:sz w:val="20"/>
          <w:szCs w:val="20"/>
        </w:rPr>
        <w:t xml:space="preserve">rupą docelową są </w:t>
      </w:r>
      <w:r w:rsidR="003C076D" w:rsidRPr="00E617D6">
        <w:rPr>
          <w:rFonts w:ascii="Verdana" w:eastAsia="Calibri" w:hAnsi="Verdana" w:cs="Calibri"/>
          <w:sz w:val="20"/>
          <w:szCs w:val="20"/>
        </w:rPr>
        <w:t xml:space="preserve">przedsiębiorcy (właściciele oraz osoby decyzyjne </w:t>
      </w:r>
      <w:r w:rsidR="0092498D">
        <w:rPr>
          <w:rFonts w:ascii="Verdana" w:eastAsia="Calibri" w:hAnsi="Verdana" w:cs="Calibri"/>
          <w:sz w:val="20"/>
          <w:szCs w:val="20"/>
        </w:rPr>
        <w:br/>
      </w:r>
      <w:r w:rsidR="003C076D" w:rsidRPr="00E617D6">
        <w:rPr>
          <w:rFonts w:ascii="Verdana" w:eastAsia="Calibri" w:hAnsi="Verdana" w:cs="Calibri"/>
          <w:sz w:val="20"/>
          <w:szCs w:val="20"/>
        </w:rPr>
        <w:t xml:space="preserve">w mikro, małych i średnich przedsiębiorstwach, wyższa i średnia kadra zarządzająca w przedsiębiorstwach, managerowie oraz osoby odpowiedzialne za technologie, finanse, rozwój i innowacje w dużych firmach, inżynierowie działów technicznych </w:t>
      </w:r>
      <w:r w:rsidR="0092498D">
        <w:rPr>
          <w:rFonts w:ascii="Verdana" w:eastAsia="Calibri" w:hAnsi="Verdana" w:cs="Calibri"/>
          <w:sz w:val="20"/>
          <w:szCs w:val="20"/>
        </w:rPr>
        <w:br/>
      </w:r>
      <w:r w:rsidR="003C076D" w:rsidRPr="00E617D6">
        <w:rPr>
          <w:rFonts w:ascii="Verdana" w:eastAsia="Calibri" w:hAnsi="Verdana" w:cs="Calibri"/>
          <w:sz w:val="20"/>
          <w:szCs w:val="20"/>
        </w:rPr>
        <w:t>i technologicznych, pracownicy obszarów badawczych przy i w przedsiębiorstwach ze szczególnym uwzględnieniem tych rozważających wdrożenie innowacji w swojej firmie, do których chcemy dotrzeć z przekazem o tym, że istnieje marka Łukasiewicz).</w:t>
      </w:r>
    </w:p>
    <w:p w14:paraId="0306D562" w14:textId="77777777" w:rsidR="003C076D" w:rsidRPr="00C757FF" w:rsidRDefault="003C076D" w:rsidP="003C076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sz w:val="20"/>
          <w:szCs w:val="20"/>
        </w:rPr>
      </w:pPr>
    </w:p>
    <w:p w14:paraId="42708A24" w14:textId="2675B1CF" w:rsidR="003C076D" w:rsidRPr="00C757FF" w:rsidRDefault="003C076D" w:rsidP="00E617D6">
      <w:pPr>
        <w:autoSpaceDE w:val="0"/>
        <w:autoSpaceDN w:val="0"/>
        <w:adjustRightInd w:val="0"/>
        <w:spacing w:after="0" w:line="276" w:lineRule="auto"/>
        <w:ind w:left="708"/>
        <w:rPr>
          <w:rFonts w:ascii="Verdana" w:eastAsia="Calibri" w:hAnsi="Verdana" w:cs="Calibri"/>
          <w:sz w:val="20"/>
          <w:szCs w:val="20"/>
        </w:rPr>
      </w:pPr>
      <w:r w:rsidRPr="00C757FF">
        <w:rPr>
          <w:rFonts w:ascii="Verdana" w:eastAsia="Calibri" w:hAnsi="Verdana" w:cs="Calibri"/>
          <w:sz w:val="20"/>
          <w:szCs w:val="20"/>
        </w:rPr>
        <w:t xml:space="preserve">W definicjach </w:t>
      </w:r>
      <w:r w:rsidRPr="00C757FF">
        <w:rPr>
          <w:rFonts w:ascii="Verdana" w:eastAsia="Times New Roman" w:hAnsi="Verdana"/>
          <w:sz w:val="20"/>
          <w:szCs w:val="20"/>
        </w:rPr>
        <w:t>Mediapanelu, standardzie badań internetu w Polsce, grupa docelowa jest określona w następujący sposób:</w:t>
      </w:r>
    </w:p>
    <w:p w14:paraId="72705C1E" w14:textId="77777777" w:rsidR="003C076D" w:rsidRPr="00C757FF" w:rsidRDefault="003C076D" w:rsidP="003C076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sz w:val="20"/>
          <w:szCs w:val="20"/>
        </w:rPr>
      </w:pPr>
    </w:p>
    <w:p w14:paraId="5B8AF152" w14:textId="77777777" w:rsidR="003C076D" w:rsidRPr="00C757FF" w:rsidRDefault="003C076D" w:rsidP="003C076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sz w:val="20"/>
          <w:szCs w:val="20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</w:tblGrid>
      <w:tr w:rsidR="003C076D" w:rsidRPr="00C757FF" w14:paraId="1448F7DF" w14:textId="77777777" w:rsidTr="00041A17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B88" w14:textId="77777777" w:rsidR="003C076D" w:rsidRPr="00C757FF" w:rsidRDefault="003C076D" w:rsidP="00041A1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lastRenderedPageBreak/>
              <w:t>Target group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AF4" w14:textId="77777777" w:rsidR="003C076D" w:rsidRPr="00C757FF" w:rsidRDefault="003C076D" w:rsidP="00041A17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Real users</w:t>
            </w:r>
          </w:p>
        </w:tc>
      </w:tr>
      <w:tr w:rsidR="003C076D" w:rsidRPr="00C757FF" w14:paraId="4550FAB7" w14:textId="77777777" w:rsidTr="00041A1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8C6" w14:textId="77777777" w:rsidR="003C076D" w:rsidRPr="00C757FF" w:rsidRDefault="003C076D" w:rsidP="00041A1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Highly skilled worker, freelancer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  <w:hideMark/>
          </w:tcPr>
          <w:p w14:paraId="6A43C7B2" w14:textId="77777777" w:rsidR="003C076D" w:rsidRPr="00C757FF" w:rsidRDefault="003C076D" w:rsidP="00041A17">
            <w:pPr>
              <w:spacing w:after="0" w:line="276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3 080 916</w:t>
            </w:r>
          </w:p>
        </w:tc>
      </w:tr>
      <w:tr w:rsidR="003C076D" w:rsidRPr="00C757FF" w14:paraId="23B56AA5" w14:textId="77777777" w:rsidTr="00041A1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C68" w14:textId="77777777" w:rsidR="003C076D" w:rsidRPr="00C757FF" w:rsidRDefault="003C076D" w:rsidP="00041A1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Self employed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  <w:hideMark/>
          </w:tcPr>
          <w:p w14:paraId="2C7BC806" w14:textId="77777777" w:rsidR="003C076D" w:rsidRPr="00C757FF" w:rsidRDefault="003C076D" w:rsidP="00041A17">
            <w:pPr>
              <w:spacing w:after="0" w:line="276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2 072 952</w:t>
            </w:r>
          </w:p>
        </w:tc>
      </w:tr>
      <w:tr w:rsidR="003C076D" w:rsidRPr="00C757FF" w14:paraId="2D8A22CC" w14:textId="77777777" w:rsidTr="00041A1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F4F7" w14:textId="77777777" w:rsidR="003C076D" w:rsidRPr="00C757FF" w:rsidRDefault="003C076D" w:rsidP="00041A1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Administration clerk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  <w:hideMark/>
          </w:tcPr>
          <w:p w14:paraId="156A63FA" w14:textId="77777777" w:rsidR="003C076D" w:rsidRPr="00C757FF" w:rsidRDefault="003C076D" w:rsidP="00041A17">
            <w:pPr>
              <w:spacing w:after="0" w:line="276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1 716 228</w:t>
            </w:r>
          </w:p>
        </w:tc>
      </w:tr>
      <w:tr w:rsidR="003C076D" w:rsidRPr="00C757FF" w14:paraId="25EE8293" w14:textId="77777777" w:rsidTr="00041A1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6B3" w14:textId="77777777" w:rsidR="003C076D" w:rsidRPr="00C757FF" w:rsidRDefault="003C076D" w:rsidP="00041A1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  <w:t>Middle or low-level manager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  <w:hideMark/>
          </w:tcPr>
          <w:p w14:paraId="06848BA9" w14:textId="77777777" w:rsidR="003C076D" w:rsidRPr="00C757FF" w:rsidRDefault="003C076D" w:rsidP="00041A17">
            <w:pPr>
              <w:spacing w:after="0" w:line="276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1 690 794</w:t>
            </w:r>
          </w:p>
        </w:tc>
      </w:tr>
      <w:tr w:rsidR="003C076D" w:rsidRPr="00C757FF" w14:paraId="261B4809" w14:textId="77777777" w:rsidTr="00041A1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1360" w14:textId="77777777" w:rsidR="003C076D" w:rsidRPr="00C757FF" w:rsidRDefault="003C076D" w:rsidP="00041A1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  <w:t>CEO, director, top-level manager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  <w:hideMark/>
          </w:tcPr>
          <w:p w14:paraId="7F3818C5" w14:textId="77777777" w:rsidR="003C076D" w:rsidRPr="00C757FF" w:rsidRDefault="003C076D" w:rsidP="00041A17">
            <w:pPr>
              <w:spacing w:after="0" w:line="276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896 832</w:t>
            </w:r>
          </w:p>
        </w:tc>
      </w:tr>
      <w:tr w:rsidR="003C076D" w:rsidRPr="00C757FF" w14:paraId="462D4460" w14:textId="77777777" w:rsidTr="00041A1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E84" w14:textId="77777777" w:rsidR="003C076D" w:rsidRPr="00C757FF" w:rsidRDefault="003C076D" w:rsidP="00041A1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Business owner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4" w:type="dxa"/>
            </w:tcMar>
            <w:vAlign w:val="bottom"/>
            <w:hideMark/>
          </w:tcPr>
          <w:p w14:paraId="507C2892" w14:textId="77777777" w:rsidR="003C076D" w:rsidRPr="00C757FF" w:rsidRDefault="003C076D" w:rsidP="00041A17">
            <w:pPr>
              <w:spacing w:after="0" w:line="276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75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769 824</w:t>
            </w:r>
          </w:p>
        </w:tc>
      </w:tr>
    </w:tbl>
    <w:p w14:paraId="51A500D3" w14:textId="77777777" w:rsidR="003C076D" w:rsidRPr="00C757FF" w:rsidRDefault="003C076D" w:rsidP="003C076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Calibri"/>
          <w:sz w:val="20"/>
          <w:szCs w:val="20"/>
        </w:rPr>
      </w:pPr>
    </w:p>
    <w:p w14:paraId="7EE95E36" w14:textId="7A7126B1" w:rsidR="00E617D6" w:rsidRDefault="00531D78" w:rsidP="009249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Istotną grupą docelową są s</w:t>
      </w:r>
      <w:r w:rsidR="00E617D6">
        <w:rPr>
          <w:rFonts w:ascii="Verdana" w:hAnsi="Verdana"/>
          <w:sz w:val="20"/>
          <w:szCs w:val="20"/>
        </w:rPr>
        <w:t>tudenci ostatnich lat, absolwenci oraz profesjonaliści w zawodach zbieżnych z kierunkami działalności Łukasiewicza;</w:t>
      </w:r>
    </w:p>
    <w:p w14:paraId="4997D920" w14:textId="38B27309" w:rsidR="00E617D6" w:rsidRPr="00E617D6" w:rsidRDefault="00E617D6" w:rsidP="009249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Szeroka opinia publiczna (</w:t>
      </w:r>
      <w:r w:rsidR="00531D78">
        <w:rPr>
          <w:rFonts w:ascii="Verdana" w:hAnsi="Verdana"/>
          <w:sz w:val="20"/>
          <w:szCs w:val="20"/>
        </w:rPr>
        <w:t xml:space="preserve">szczególnie </w:t>
      </w:r>
      <w:r>
        <w:rPr>
          <w:rFonts w:ascii="Verdana" w:hAnsi="Verdana"/>
          <w:sz w:val="20"/>
          <w:szCs w:val="20"/>
        </w:rPr>
        <w:t>w zakresie komunikacji 200 – lecia urodzin Ignacego Łukasiewicza)</w:t>
      </w:r>
    </w:p>
    <w:p w14:paraId="21E0BBB1" w14:textId="0CB5EC62" w:rsidR="00296C2F" w:rsidRDefault="00296C2F" w:rsidP="009249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Dziennikarze mediów ogólnopolskich i regionalnych</w:t>
      </w:r>
      <w:r w:rsidR="00531D78">
        <w:rPr>
          <w:rFonts w:ascii="Verdana" w:hAnsi="Verdana"/>
          <w:sz w:val="20"/>
          <w:szCs w:val="20"/>
        </w:rPr>
        <w:t xml:space="preserve"> podejmujących tematykę gospodarczą, innowacji, badań, rozwoju oraz tematyki zbieżne z kierunkami badawczymi Łukasiewicza i Programami Łukasiewicza</w:t>
      </w:r>
      <w:r>
        <w:rPr>
          <w:rFonts w:ascii="Verdana" w:hAnsi="Verdana"/>
          <w:sz w:val="20"/>
          <w:szCs w:val="20"/>
        </w:rPr>
        <w:t>;</w:t>
      </w:r>
    </w:p>
    <w:p w14:paraId="5329B1E1" w14:textId="77777777" w:rsidR="003C076D" w:rsidRPr="00B01C5C" w:rsidRDefault="003C076D" w:rsidP="0092498D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</w:p>
    <w:p w14:paraId="0199EAA5" w14:textId="77777777" w:rsidR="003C076D" w:rsidRPr="00B01C5C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  <w:r w:rsidRPr="00B01C5C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>Szczegółowy Opis Przedmiotu Zamówienia</w:t>
      </w:r>
    </w:p>
    <w:p w14:paraId="08CB709F" w14:textId="77777777" w:rsidR="003C076D" w:rsidRPr="00B01C5C" w:rsidRDefault="003C076D" w:rsidP="003C076D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</w:p>
    <w:p w14:paraId="7FAC2B79" w14:textId="22D3EFFB" w:rsidR="003C076D" w:rsidRDefault="003C076D" w:rsidP="007B2D32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color w:val="000000"/>
          <w:sz w:val="20"/>
          <w:szCs w:val="20"/>
        </w:rPr>
      </w:pPr>
      <w:r w:rsidRPr="007B2D32">
        <w:rPr>
          <w:rFonts w:ascii="Verdana" w:eastAsia="TimesNewRomanPS-BoldMT" w:hAnsi="Verdana" w:cstheme="minorHAnsi"/>
          <w:color w:val="000000"/>
          <w:sz w:val="20"/>
          <w:szCs w:val="20"/>
        </w:rPr>
        <w:t xml:space="preserve">Do zadań Wykonawcy </w:t>
      </w:r>
      <w:r w:rsidR="000F2F16" w:rsidRPr="007B2D32">
        <w:rPr>
          <w:rFonts w:ascii="Verdana" w:eastAsia="TimesNewRomanPS-BoldMT" w:hAnsi="Verdana" w:cstheme="minorHAnsi"/>
          <w:color w:val="000000"/>
          <w:sz w:val="20"/>
          <w:szCs w:val="20"/>
        </w:rPr>
        <w:t>w ramach współpracy z Zamawiającym</w:t>
      </w:r>
      <w:r w:rsidRPr="007B2D32">
        <w:rPr>
          <w:rFonts w:ascii="Verdana" w:eastAsia="TimesNewRomanPS-BoldMT" w:hAnsi="Verdana" w:cstheme="minorHAnsi"/>
          <w:color w:val="000000"/>
          <w:sz w:val="20"/>
          <w:szCs w:val="20"/>
        </w:rPr>
        <w:t xml:space="preserve"> będzie należało:</w:t>
      </w:r>
    </w:p>
    <w:p w14:paraId="37AA2BD4" w14:textId="77777777" w:rsidR="007B2D32" w:rsidRPr="007B2D32" w:rsidRDefault="007B2D32" w:rsidP="007B2D32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color w:val="000000"/>
          <w:sz w:val="20"/>
          <w:szCs w:val="20"/>
        </w:rPr>
      </w:pPr>
    </w:p>
    <w:p w14:paraId="454037BB" w14:textId="76152B2A" w:rsidR="007B2D32" w:rsidRDefault="007B2D32" w:rsidP="007B2D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Rekomendowanie </w:t>
      </w:r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 xml:space="preserve">podejmowania 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działań komunikacyjnych w związku </w:t>
      </w:r>
      <w:r w:rsidR="0092498D">
        <w:rPr>
          <w:rFonts w:ascii="Verdana" w:eastAsia="TimesNewRomanPSMT" w:hAnsi="Verdana" w:cstheme="minorHAnsi"/>
          <w:color w:val="000000"/>
          <w:sz w:val="20"/>
          <w:szCs w:val="20"/>
        </w:rPr>
        <w:br/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z potrzebami </w:t>
      </w:r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 xml:space="preserve">wizerunkowymi 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>Zamawiającego;</w:t>
      </w:r>
    </w:p>
    <w:p w14:paraId="6B2F3651" w14:textId="0F93CD28" w:rsidR="007B2D32" w:rsidRPr="007B2D32" w:rsidRDefault="003C076D" w:rsidP="007B2D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 w:rsidRP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Przygotowanie </w:t>
      </w:r>
      <w:r w:rsidR="00710254" w:rsidRP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na podstawie ustalań z Zamawiającym miesięcznych oraz cząstkowych </w:t>
      </w:r>
      <w:bookmarkStart w:id="6" w:name="_Hlk90309934"/>
      <w:bookmarkStart w:id="7" w:name="_Hlk90310209"/>
      <w:r w:rsidR="00710254" w:rsidRP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planów aktywności medialnej i eventowej </w:t>
      </w:r>
      <w:bookmarkEnd w:id="6"/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>(mediaplanów)</w:t>
      </w:r>
      <w:bookmarkEnd w:id="7"/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  <w:r w:rsid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w postaci tabel </w:t>
      </w:r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>obejmujących nazwę medium</w:t>
      </w:r>
      <w:r w:rsidR="005A5711">
        <w:rPr>
          <w:rFonts w:ascii="Verdana" w:eastAsia="TimesNewRomanPSMT" w:hAnsi="Verdana" w:cstheme="minorHAnsi"/>
          <w:color w:val="000000"/>
          <w:sz w:val="20"/>
          <w:szCs w:val="20"/>
        </w:rPr>
        <w:t>/wydarzenia</w:t>
      </w:r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>, datę publikacji/wydarzenia, szacowane dotarcie (media), wy</w:t>
      </w:r>
      <w:r w:rsidR="00CA7FC8">
        <w:rPr>
          <w:rFonts w:ascii="Verdana" w:eastAsia="TimesNewRomanPSMT" w:hAnsi="Verdana" w:cstheme="minorHAnsi"/>
          <w:color w:val="000000"/>
          <w:sz w:val="20"/>
          <w:szCs w:val="20"/>
        </w:rPr>
        <w:t>s</w:t>
      </w:r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>okość uzyskanego rabatu</w:t>
      </w:r>
      <w:r w:rsidR="005A5711">
        <w:rPr>
          <w:rFonts w:ascii="Verdana" w:eastAsia="TimesNewRomanPSMT" w:hAnsi="Verdana" w:cstheme="minorHAnsi"/>
          <w:color w:val="000000"/>
          <w:sz w:val="20"/>
          <w:szCs w:val="20"/>
        </w:rPr>
        <w:t xml:space="preserve">, </w:t>
      </w:r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>prowizję Wykonawcy</w:t>
      </w:r>
      <w:r w:rsidR="00CA7FC8">
        <w:rPr>
          <w:rFonts w:ascii="Verdana" w:eastAsia="TimesNewRomanPSMT" w:hAnsi="Verdana" w:cstheme="minorHAnsi"/>
          <w:color w:val="000000"/>
          <w:sz w:val="20"/>
          <w:szCs w:val="20"/>
        </w:rPr>
        <w:t xml:space="preserve"> oraz koszt </w:t>
      </w:r>
      <w:r w:rsid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zakupu oraz </w:t>
      </w:r>
      <w:r w:rsidR="00CA7FC8">
        <w:rPr>
          <w:rFonts w:ascii="Verdana" w:eastAsia="TimesNewRomanPSMT" w:hAnsi="Verdana" w:cstheme="minorHAnsi"/>
          <w:color w:val="000000"/>
          <w:sz w:val="20"/>
          <w:szCs w:val="20"/>
        </w:rPr>
        <w:t>przeformatowania (przygotowania materiału do publikacji)</w:t>
      </w:r>
      <w:r w:rsidR="008127C2">
        <w:rPr>
          <w:rFonts w:ascii="Verdana" w:eastAsia="TimesNewRomanPSMT" w:hAnsi="Verdana" w:cstheme="minorHAnsi"/>
          <w:color w:val="000000"/>
          <w:sz w:val="20"/>
          <w:szCs w:val="20"/>
        </w:rPr>
        <w:t>, jeśli takowe występuje</w:t>
      </w:r>
      <w:r w:rsidR="00710254" w:rsidRP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  <w:r w:rsidR="0079616D">
        <w:rPr>
          <w:rFonts w:ascii="Verdana" w:eastAsia="TimesNewRomanPSMT" w:hAnsi="Verdana" w:cstheme="minorHAnsi"/>
          <w:color w:val="000000"/>
          <w:sz w:val="20"/>
          <w:szCs w:val="20"/>
        </w:rPr>
        <w:t xml:space="preserve">– </w:t>
      </w:r>
      <w:r w:rsidR="00710254" w:rsidRP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obejmującym</w:t>
      </w:r>
      <w:r w:rsidR="00CA7FC8">
        <w:rPr>
          <w:rFonts w:ascii="Verdana" w:eastAsia="TimesNewRomanPSMT" w:hAnsi="Verdana" w:cstheme="minorHAnsi"/>
          <w:color w:val="000000"/>
          <w:sz w:val="20"/>
          <w:szCs w:val="20"/>
        </w:rPr>
        <w:t>i</w:t>
      </w:r>
      <w:r w:rsidR="00710254" w:rsidRP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wszystkie koszty konieczne do poniesienia w związku z realizacją działań po stronie Zamawiającego;</w:t>
      </w:r>
    </w:p>
    <w:p w14:paraId="305D3BE5" w14:textId="7F78C5C6" w:rsidR="008127C2" w:rsidRDefault="003C076D" w:rsidP="007B2D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 w:rsidRPr="007B2D32">
        <w:rPr>
          <w:rFonts w:ascii="Verdana" w:eastAsia="TimesNewRomanPSMT" w:hAnsi="Verdana" w:cstheme="minorHAnsi"/>
          <w:color w:val="000000"/>
          <w:sz w:val="20"/>
          <w:szCs w:val="20"/>
        </w:rPr>
        <w:t>Realizacj</w:t>
      </w:r>
      <w:r w:rsidR="00710254" w:rsidRPr="007B2D32">
        <w:rPr>
          <w:rFonts w:ascii="Verdana" w:eastAsia="TimesNewRomanPSMT" w:hAnsi="Verdana" w:cstheme="minorHAnsi"/>
          <w:color w:val="000000"/>
          <w:sz w:val="20"/>
          <w:szCs w:val="20"/>
        </w:rPr>
        <w:t>a</w:t>
      </w:r>
      <w:r w:rsidRP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ww. działań wg założeń </w:t>
      </w:r>
      <w:r w:rsidR="00710254" w:rsidRPr="007B2D32">
        <w:rPr>
          <w:rFonts w:ascii="Verdana" w:eastAsia="TimesNewRomanPSMT" w:hAnsi="Verdana" w:cstheme="minorHAnsi"/>
          <w:color w:val="000000"/>
          <w:sz w:val="20"/>
          <w:szCs w:val="20"/>
        </w:rPr>
        <w:t>mediaplanu</w:t>
      </w:r>
      <w:r w:rsidR="00F550C3">
        <w:rPr>
          <w:rFonts w:ascii="Verdana" w:eastAsia="TimesNewRomanPSMT" w:hAnsi="Verdana" w:cstheme="minorHAnsi"/>
          <w:color w:val="000000"/>
          <w:sz w:val="20"/>
          <w:szCs w:val="20"/>
        </w:rPr>
        <w:t>, w tym:</w:t>
      </w:r>
    </w:p>
    <w:p w14:paraId="17F668B1" w14:textId="5651DB3F" w:rsidR="008127C2" w:rsidRDefault="008127C2" w:rsidP="002F5EF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color w:val="000000"/>
          <w:sz w:val="20"/>
          <w:szCs w:val="20"/>
        </w:rPr>
        <w:t>Z</w:t>
      </w:r>
      <w:r w:rsidR="00710254" w:rsidRPr="008127C2">
        <w:rPr>
          <w:rFonts w:ascii="Verdana" w:eastAsia="TimesNewRomanPSMT" w:hAnsi="Verdana" w:cstheme="minorHAnsi"/>
          <w:color w:val="000000"/>
          <w:sz w:val="20"/>
          <w:szCs w:val="20"/>
        </w:rPr>
        <w:t>akup mediów oraz opłacenie współpracy z influencerami / liderami opinii/ ambasadorami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>;</w:t>
      </w:r>
    </w:p>
    <w:p w14:paraId="424BF410" w14:textId="77777777" w:rsidR="008127C2" w:rsidRDefault="008127C2" w:rsidP="002F5EF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color w:val="000000"/>
          <w:sz w:val="20"/>
          <w:szCs w:val="20"/>
        </w:rPr>
        <w:t>D</w:t>
      </w:r>
      <w:r w:rsidR="0030653C" w:rsidRPr="008127C2">
        <w:rPr>
          <w:rFonts w:ascii="Verdana" w:eastAsia="TimesNewRomanPSMT" w:hAnsi="Verdana" w:cstheme="minorHAnsi"/>
          <w:color w:val="000000"/>
          <w:sz w:val="20"/>
          <w:szCs w:val="20"/>
        </w:rPr>
        <w:t>ostarczenie do mediów materiałów graficznych, tekstowych, video zgodnie ze specyfikacją przekazaną przez media</w:t>
      </w:r>
      <w:r w:rsidR="007B2D32" w:rsidRPr="008127C2">
        <w:rPr>
          <w:rFonts w:ascii="Verdana" w:eastAsia="TimesNewRomanPSMT" w:hAnsi="Verdana" w:cstheme="minorHAnsi"/>
          <w:color w:val="000000"/>
          <w:sz w:val="20"/>
          <w:szCs w:val="20"/>
        </w:rPr>
        <w:t>;</w:t>
      </w:r>
    </w:p>
    <w:p w14:paraId="333F8FCE" w14:textId="77777777" w:rsidR="008127C2" w:rsidRDefault="008127C2" w:rsidP="002F5EF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color w:val="000000"/>
          <w:sz w:val="20"/>
          <w:szCs w:val="20"/>
        </w:rPr>
        <w:t>Z</w:t>
      </w:r>
      <w:r w:rsidR="007B2D32" w:rsidRPr="007B2D32">
        <w:rPr>
          <w:rFonts w:ascii="Verdana" w:eastAsia="TimesNewRomanPSMT" w:hAnsi="Verdana" w:cstheme="minorHAnsi"/>
          <w:color w:val="000000"/>
          <w:sz w:val="20"/>
          <w:szCs w:val="20"/>
        </w:rPr>
        <w:t>akup prawa do udziału w wydarzeniach specjalnych</w:t>
      </w:r>
      <w:r w:rsidR="0030653C">
        <w:rPr>
          <w:rFonts w:ascii="Verdana" w:eastAsia="TimesNewRomanPSMT" w:hAnsi="Verdana" w:cstheme="minorHAnsi"/>
          <w:color w:val="000000"/>
          <w:sz w:val="20"/>
          <w:szCs w:val="20"/>
        </w:rPr>
        <w:t xml:space="preserve">, którego warunki zostaną ustalone </w:t>
      </w:r>
      <w:r w:rsidR="007B2D32">
        <w:rPr>
          <w:rFonts w:ascii="Verdana" w:eastAsia="TimesNewRomanPSMT" w:hAnsi="Verdana" w:cstheme="minorHAnsi"/>
          <w:color w:val="000000"/>
          <w:sz w:val="20"/>
          <w:szCs w:val="20"/>
        </w:rPr>
        <w:t>pomiędzy organizatorem</w:t>
      </w:r>
      <w:r w:rsidR="0030653C">
        <w:rPr>
          <w:rFonts w:ascii="Verdana" w:eastAsia="TimesNewRomanPSMT" w:hAnsi="Verdana" w:cstheme="minorHAnsi"/>
          <w:color w:val="000000"/>
          <w:sz w:val="20"/>
          <w:szCs w:val="20"/>
        </w:rPr>
        <w:t xml:space="preserve"> wydarzenia oraz</w:t>
      </w:r>
      <w:r w:rsidR="007B2D3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Zamawiającym;</w:t>
      </w:r>
    </w:p>
    <w:p w14:paraId="12702B5D" w14:textId="2F89663C" w:rsidR="007B2D32" w:rsidRPr="008127C2" w:rsidRDefault="008127C2" w:rsidP="002F5EFD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color w:val="000000"/>
          <w:sz w:val="20"/>
          <w:szCs w:val="20"/>
        </w:rPr>
        <w:t>Z</w:t>
      </w:r>
      <w:r w:rsidR="007B2D32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akup innej przestrzeni do </w:t>
      </w:r>
      <w:r w:rsidR="0030653C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prezentacji marki </w:t>
      </w:r>
      <w:r w:rsidR="009C13B3" w:rsidRPr="008127C2">
        <w:rPr>
          <w:rFonts w:ascii="Verdana" w:eastAsia="TimesNewRomanPSMT" w:hAnsi="Verdana" w:cstheme="minorHAnsi"/>
          <w:color w:val="000000"/>
          <w:sz w:val="20"/>
          <w:szCs w:val="20"/>
        </w:rPr>
        <w:t>Łukasiewicz (</w:t>
      </w:r>
      <w:r w:rsidR="0008401F">
        <w:rPr>
          <w:rFonts w:ascii="Verdana" w:eastAsia="TimesNewRomanPSMT" w:hAnsi="Verdana" w:cstheme="minorHAnsi"/>
          <w:color w:val="000000"/>
          <w:sz w:val="20"/>
          <w:szCs w:val="20"/>
        </w:rPr>
        <w:t>w tym m.in.</w:t>
      </w:r>
      <w:r w:rsidR="009C13B3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pokrycie kosztów udziału ekspertów</w:t>
      </w:r>
      <w:r w:rsidR="00CA7FC8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wydarzeniu</w:t>
      </w:r>
      <w:r w:rsidR="009C13B3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, wynajmu </w:t>
      </w:r>
      <w:r w:rsidR="00CA7FC8" w:rsidRPr="008127C2">
        <w:rPr>
          <w:rFonts w:ascii="Verdana" w:eastAsia="TimesNewRomanPSMT" w:hAnsi="Verdana" w:cstheme="minorHAnsi"/>
          <w:color w:val="000000"/>
          <w:sz w:val="20"/>
          <w:szCs w:val="20"/>
        </w:rPr>
        <w:t>pomieszczeń</w:t>
      </w:r>
      <w:r w:rsidR="009C13B3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do wydarzenia, organizacji poczęstunku dla gości</w:t>
      </w:r>
      <w:r w:rsidR="0008401F">
        <w:rPr>
          <w:rFonts w:ascii="Verdana" w:eastAsia="TimesNewRomanPSMT" w:hAnsi="Verdana" w:cstheme="minorHAnsi"/>
          <w:color w:val="000000"/>
          <w:sz w:val="20"/>
          <w:szCs w:val="20"/>
        </w:rPr>
        <w:t xml:space="preserve"> wydarzenia</w:t>
      </w:r>
      <w:r w:rsidR="00CA7FC8" w:rsidRPr="008127C2">
        <w:rPr>
          <w:rFonts w:ascii="Verdana" w:eastAsia="TimesNewRomanPSMT" w:hAnsi="Verdana" w:cstheme="minorHAnsi"/>
          <w:color w:val="000000"/>
          <w:sz w:val="20"/>
          <w:szCs w:val="20"/>
        </w:rPr>
        <w:t>, opracowania materiałów konferencyjnych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, prostych treści video, kosztów foto, </w:t>
      </w:r>
      <w:r w:rsidR="0008401F">
        <w:rPr>
          <w:rFonts w:ascii="Verdana" w:eastAsia="TimesNewRomanPSMT" w:hAnsi="Verdana" w:cstheme="minorHAnsi"/>
          <w:color w:val="000000"/>
          <w:sz w:val="20"/>
          <w:szCs w:val="20"/>
        </w:rPr>
        <w:t xml:space="preserve">kosztów BTL oraz animacji, 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>etc.</w:t>
      </w:r>
      <w:r w:rsidR="009C13B3" w:rsidRPr="008127C2">
        <w:rPr>
          <w:rFonts w:ascii="Verdana" w:eastAsia="TimesNewRomanPSMT" w:hAnsi="Verdana" w:cstheme="minorHAnsi"/>
          <w:color w:val="000000"/>
          <w:sz w:val="20"/>
          <w:szCs w:val="20"/>
        </w:rPr>
        <w:t>);</w:t>
      </w:r>
    </w:p>
    <w:p w14:paraId="5488A82E" w14:textId="77777777" w:rsidR="001049A4" w:rsidRPr="00B01C5C" w:rsidRDefault="001049A4" w:rsidP="001049A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bookmarkStart w:id="8" w:name="_Hlk90310306"/>
      <w:r w:rsidRPr="00B01C5C">
        <w:rPr>
          <w:rFonts w:ascii="Verdana" w:eastAsia="TimesNewRomanPSMT" w:hAnsi="Verdana" w:cstheme="minorHAnsi"/>
          <w:color w:val="000000"/>
          <w:sz w:val="20"/>
          <w:szCs w:val="20"/>
        </w:rPr>
        <w:t>Wskazanie narzędzi analitycznych do pomiarów prowadzonych działań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, 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prowadzeni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>e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stałego monitoringu 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 xml:space="preserve">tych 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działań 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>i analizy prowadzonych statystyk oraz także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optymalizacj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>a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efektywności 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>działań na ich podstawie;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</w:p>
    <w:p w14:paraId="48744A23" w14:textId="7401DD7B" w:rsidR="001049A4" w:rsidRPr="008127C2" w:rsidRDefault="001049A4" w:rsidP="001049A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Efektywna alokacja budżetu uwzględniająca zrównoważenie celów </w:t>
      </w:r>
      <w:r w:rsidR="0092498D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w zastosowanym media mix; </w:t>
      </w:r>
    </w:p>
    <w:p w14:paraId="46714FD1" w14:textId="196200EB" w:rsidR="00471F9C" w:rsidRDefault="00471F9C" w:rsidP="003C076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color w:val="000000"/>
          <w:sz w:val="20"/>
          <w:szCs w:val="20"/>
        </w:rPr>
        <w:lastRenderedPageBreak/>
        <w:t xml:space="preserve">Opracowanie </w:t>
      </w:r>
      <w:r w:rsidR="0092498D">
        <w:rPr>
          <w:rFonts w:ascii="Verdana" w:eastAsia="TimesNewRomanPSMT" w:hAnsi="Verdana" w:cstheme="minorHAnsi"/>
          <w:color w:val="000000"/>
          <w:sz w:val="20"/>
          <w:szCs w:val="20"/>
        </w:rPr>
        <w:t xml:space="preserve">do </w:t>
      </w:r>
      <w:r w:rsidR="008F1599">
        <w:rPr>
          <w:rFonts w:ascii="Verdana" w:eastAsia="TimesNewRomanPSMT" w:hAnsi="Verdana" w:cstheme="minorHAnsi"/>
          <w:color w:val="000000"/>
          <w:sz w:val="20"/>
          <w:szCs w:val="20"/>
        </w:rPr>
        <w:t>2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  <w:r w:rsid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koncepcji 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>linii kreatywnych</w:t>
      </w:r>
      <w:r w:rsidR="0090715D"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  <w:r w:rsidR="008127C2">
        <w:rPr>
          <w:rFonts w:ascii="Verdana" w:eastAsia="TimesNewRomanPSMT" w:hAnsi="Verdana" w:cstheme="minorHAnsi"/>
          <w:color w:val="000000"/>
          <w:sz w:val="20"/>
          <w:szCs w:val="20"/>
        </w:rPr>
        <w:t>(KV’s</w:t>
      </w:r>
      <w:r w:rsidR="0092498D">
        <w:rPr>
          <w:rFonts w:ascii="Verdana" w:eastAsia="TimesNewRomanPSMT" w:hAnsi="Verdana" w:cstheme="minorHAnsi"/>
          <w:color w:val="000000"/>
          <w:sz w:val="20"/>
          <w:szCs w:val="20"/>
        </w:rPr>
        <w:t xml:space="preserve"> reklamy statycznej</w:t>
      </w:r>
      <w:r w:rsid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) </w:t>
      </w:r>
      <w:r w:rsidR="0090715D">
        <w:rPr>
          <w:rFonts w:ascii="Verdana" w:eastAsia="TimesNewRomanPSMT" w:hAnsi="Verdana" w:cstheme="minorHAnsi"/>
          <w:color w:val="000000"/>
          <w:sz w:val="20"/>
          <w:szCs w:val="20"/>
        </w:rPr>
        <w:t>uwzględniających identyfikację wizualną Zamawiającego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, do komunikacji </w:t>
      </w:r>
      <w:r w:rsidR="0092498D">
        <w:rPr>
          <w:rFonts w:ascii="Verdana" w:eastAsia="TimesNewRomanPSMT" w:hAnsi="Verdana" w:cstheme="minorHAnsi"/>
          <w:color w:val="000000"/>
          <w:sz w:val="20"/>
          <w:szCs w:val="20"/>
        </w:rPr>
        <w:br/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>w internecie i prasie tradycyjnej</w:t>
      </w:r>
      <w:bookmarkEnd w:id="8"/>
      <w:r>
        <w:rPr>
          <w:rFonts w:ascii="Verdana" w:eastAsia="TimesNewRomanPSMT" w:hAnsi="Verdana" w:cstheme="minorHAnsi"/>
          <w:color w:val="000000"/>
          <w:sz w:val="20"/>
          <w:szCs w:val="20"/>
        </w:rPr>
        <w:t>;</w:t>
      </w:r>
    </w:p>
    <w:p w14:paraId="3AB860AC" w14:textId="71CB36A7" w:rsidR="00471F9C" w:rsidRDefault="00471F9C" w:rsidP="003C076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Dokonanie </w:t>
      </w:r>
      <w:r w:rsidR="0008401F">
        <w:rPr>
          <w:rFonts w:ascii="Verdana" w:eastAsia="TimesNewRomanPSMT" w:hAnsi="Verdana" w:cstheme="minorHAnsi"/>
          <w:color w:val="000000"/>
          <w:sz w:val="20"/>
          <w:szCs w:val="20"/>
        </w:rPr>
        <w:t xml:space="preserve">do </w:t>
      </w:r>
      <w:r>
        <w:rPr>
          <w:rFonts w:ascii="Verdana" w:eastAsia="TimesNewRomanPSMT" w:hAnsi="Verdana" w:cstheme="minorHAnsi"/>
          <w:color w:val="000000"/>
          <w:sz w:val="20"/>
          <w:szCs w:val="20"/>
        </w:rPr>
        <w:t xml:space="preserve">100 przeformatowań </w:t>
      </w:r>
      <w:bookmarkStart w:id="9" w:name="_Hlk90310357"/>
      <w:r>
        <w:rPr>
          <w:rFonts w:ascii="Verdana" w:eastAsia="TimesNewRomanPSMT" w:hAnsi="Verdana" w:cstheme="minorHAnsi"/>
          <w:color w:val="000000"/>
          <w:sz w:val="20"/>
          <w:szCs w:val="20"/>
        </w:rPr>
        <w:t>na potrzeby wykorzystania KV w mediach elektronicznych i tradycyjnych</w:t>
      </w:r>
      <w:bookmarkEnd w:id="9"/>
      <w:r>
        <w:rPr>
          <w:rFonts w:ascii="Verdana" w:eastAsia="TimesNewRomanPSMT" w:hAnsi="Verdana" w:cstheme="minorHAnsi"/>
          <w:color w:val="000000"/>
          <w:sz w:val="20"/>
          <w:szCs w:val="20"/>
        </w:rPr>
        <w:t>;</w:t>
      </w:r>
    </w:p>
    <w:p w14:paraId="54AA5012" w14:textId="3B767E94" w:rsidR="003C076D" w:rsidRPr="00B01C5C" w:rsidRDefault="003C076D" w:rsidP="003C076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 w:rsidRPr="00B01C5C">
        <w:rPr>
          <w:rFonts w:ascii="Verdana" w:eastAsia="TimesNewRomanPSMT" w:hAnsi="Verdana" w:cstheme="minorHAnsi"/>
          <w:color w:val="000000"/>
          <w:sz w:val="20"/>
          <w:szCs w:val="20"/>
        </w:rPr>
        <w:t>Raportowanie</w:t>
      </w:r>
      <w:r w:rsidR="00297515"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  <w:r w:rsidRPr="00B01C5C">
        <w:rPr>
          <w:rFonts w:ascii="Verdana" w:eastAsia="TimesNewRomanPSMT" w:hAnsi="Verdana" w:cstheme="minorHAnsi"/>
          <w:color w:val="000000"/>
          <w:sz w:val="20"/>
          <w:szCs w:val="20"/>
        </w:rPr>
        <w:t xml:space="preserve"> w cyklu </w:t>
      </w:r>
      <w:r w:rsidR="00710254">
        <w:rPr>
          <w:rFonts w:ascii="Verdana" w:eastAsia="TimesNewRomanPSMT" w:hAnsi="Verdana" w:cstheme="minorHAnsi"/>
          <w:color w:val="000000"/>
          <w:sz w:val="20"/>
          <w:szCs w:val="20"/>
        </w:rPr>
        <w:t>miesięcznym</w:t>
      </w:r>
      <w:r w:rsidRPr="00B01C5C"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  <w:r w:rsidR="00E31675">
        <w:rPr>
          <w:rFonts w:ascii="Verdana" w:eastAsia="TimesNewRomanPSMT" w:hAnsi="Verdana" w:cstheme="minorHAnsi"/>
          <w:color w:val="000000"/>
          <w:sz w:val="20"/>
          <w:szCs w:val="20"/>
        </w:rPr>
        <w:t xml:space="preserve">(do 10 dnia następnego miesiąca poza grudniem 2022, kiedy to działania mają zostać zawarte w raporcie </w:t>
      </w:r>
      <w:r w:rsidR="002F6B6D">
        <w:rPr>
          <w:rFonts w:ascii="Verdana" w:eastAsia="TimesNewRomanPSMT" w:hAnsi="Verdana" w:cstheme="minorHAnsi"/>
          <w:color w:val="000000"/>
          <w:sz w:val="20"/>
          <w:szCs w:val="20"/>
        </w:rPr>
        <w:t>końcowym</w:t>
      </w:r>
      <w:r w:rsidR="00E31675">
        <w:rPr>
          <w:rFonts w:ascii="Verdana" w:eastAsia="TimesNewRomanPSMT" w:hAnsi="Verdana" w:cstheme="minorHAnsi"/>
          <w:color w:val="000000"/>
          <w:sz w:val="20"/>
          <w:szCs w:val="20"/>
        </w:rPr>
        <w:t xml:space="preserve">) </w:t>
      </w:r>
      <w:r w:rsidRPr="00B01C5C">
        <w:rPr>
          <w:rFonts w:ascii="Verdana" w:eastAsia="TimesNewRomanPSMT" w:hAnsi="Verdana" w:cstheme="minorHAnsi"/>
          <w:color w:val="000000"/>
          <w:sz w:val="20"/>
          <w:szCs w:val="20"/>
        </w:rPr>
        <w:t>realizowanych działań</w:t>
      </w:r>
      <w:r w:rsid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obejmujące przekazanie informacji o aktywnościach podjętych przez Wykonawcę na rzecz Zamawiającego</w:t>
      </w:r>
      <w:r w:rsidR="00E31675">
        <w:rPr>
          <w:rFonts w:ascii="Verdana" w:eastAsia="TimesNewRomanPSMT" w:hAnsi="Verdana" w:cstheme="minorHAnsi"/>
          <w:color w:val="000000"/>
          <w:sz w:val="20"/>
          <w:szCs w:val="20"/>
        </w:rPr>
        <w:t xml:space="preserve">, udostępnienie w </w:t>
      </w:r>
      <w:r w:rsidR="00041A17">
        <w:rPr>
          <w:rFonts w:ascii="Verdana" w:eastAsia="TimesNewRomanPSMT" w:hAnsi="Verdana" w:cstheme="minorHAnsi"/>
          <w:color w:val="000000"/>
          <w:sz w:val="20"/>
          <w:szCs w:val="20"/>
        </w:rPr>
        <w:t xml:space="preserve">kopii </w:t>
      </w:r>
      <w:r w:rsidR="00E31675">
        <w:rPr>
          <w:rFonts w:ascii="Verdana" w:eastAsia="TimesNewRomanPSMT" w:hAnsi="Verdana" w:cstheme="minorHAnsi"/>
          <w:color w:val="000000"/>
          <w:sz w:val="20"/>
          <w:szCs w:val="20"/>
        </w:rPr>
        <w:t>elektronicznej materiałów dowodowych (link do dysku wspólnego)</w:t>
      </w:r>
      <w:r w:rsidRPr="00B01C5C">
        <w:rPr>
          <w:rFonts w:ascii="Verdana" w:eastAsia="TimesNewRomanPSMT" w:hAnsi="Verdana" w:cstheme="minorHAnsi"/>
          <w:color w:val="000000"/>
          <w:sz w:val="20"/>
          <w:szCs w:val="20"/>
        </w:rPr>
        <w:t>;</w:t>
      </w:r>
    </w:p>
    <w:p w14:paraId="763CC33D" w14:textId="70077AFD" w:rsidR="003C076D" w:rsidRPr="008127C2" w:rsidRDefault="003C076D" w:rsidP="008127C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Przedstawienie po zakończeniu </w:t>
      </w:r>
      <w:r w:rsidR="009C6138" w:rsidRPr="008127C2">
        <w:rPr>
          <w:rFonts w:ascii="Verdana" w:eastAsia="TimesNewRomanPSMT" w:hAnsi="Verdana" w:cstheme="minorHAnsi"/>
          <w:color w:val="000000"/>
          <w:sz w:val="20"/>
          <w:szCs w:val="20"/>
        </w:rPr>
        <w:t>działań</w:t>
      </w:r>
      <w:r w:rsidR="002F6B6D">
        <w:rPr>
          <w:rFonts w:ascii="Verdana" w:eastAsia="TimesNewRomanPSMT" w:hAnsi="Verdana" w:cstheme="minorHAnsi"/>
          <w:color w:val="000000"/>
          <w:sz w:val="20"/>
          <w:szCs w:val="20"/>
        </w:rPr>
        <w:t xml:space="preserve"> w raporcie końcowym</w:t>
      </w:r>
      <w:r w:rsidR="009C6138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</w:t>
      </w:r>
      <w:r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analizy post-buy </w:t>
      </w:r>
      <w:r w:rsidR="0092498D">
        <w:rPr>
          <w:rFonts w:ascii="Verdana" w:eastAsia="TimesNewRomanPSMT" w:hAnsi="Verdana" w:cstheme="minorHAnsi"/>
          <w:color w:val="000000"/>
          <w:sz w:val="20"/>
          <w:szCs w:val="20"/>
        </w:rPr>
        <w:br/>
      </w:r>
      <w:r w:rsidRPr="008127C2">
        <w:rPr>
          <w:rFonts w:ascii="Verdana" w:eastAsia="TimesNewRomanPSMT" w:hAnsi="Verdana" w:cstheme="minorHAnsi"/>
          <w:color w:val="000000"/>
          <w:sz w:val="20"/>
          <w:szCs w:val="20"/>
        </w:rPr>
        <w:t>z oceną doboru mediów i efektywności kampanii</w:t>
      </w:r>
      <w:r w:rsidR="00C91161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, sumartycznego dotarcia </w:t>
      </w:r>
      <w:r w:rsidR="0092498D">
        <w:rPr>
          <w:rFonts w:ascii="Verdana" w:eastAsia="TimesNewRomanPSMT" w:hAnsi="Verdana" w:cstheme="minorHAnsi"/>
          <w:color w:val="000000"/>
          <w:sz w:val="20"/>
          <w:szCs w:val="20"/>
        </w:rPr>
        <w:br/>
        <w:t>do</w:t>
      </w:r>
      <w:r w:rsidR="00C91161" w:rsidRPr="008127C2">
        <w:rPr>
          <w:rFonts w:ascii="Verdana" w:eastAsia="TimesNewRomanPSMT" w:hAnsi="Verdana" w:cstheme="minorHAnsi"/>
          <w:color w:val="000000"/>
          <w:sz w:val="20"/>
          <w:szCs w:val="20"/>
        </w:rPr>
        <w:t xml:space="preserve"> grup docelowych oraz</w:t>
      </w:r>
      <w:r w:rsidRPr="008127C2">
        <w:rPr>
          <w:rFonts w:ascii="Verdana" w:eastAsia="TimesNewRomanPSMT" w:hAnsi="Verdana"/>
          <w:color w:val="000000" w:themeColor="text1"/>
          <w:sz w:val="20"/>
          <w:szCs w:val="20"/>
        </w:rPr>
        <w:t xml:space="preserve"> rekomendacj</w:t>
      </w:r>
      <w:r w:rsidR="00C91161" w:rsidRPr="008127C2">
        <w:rPr>
          <w:rFonts w:ascii="Verdana" w:eastAsia="TimesNewRomanPSMT" w:hAnsi="Verdana"/>
          <w:color w:val="000000" w:themeColor="text1"/>
          <w:sz w:val="20"/>
          <w:szCs w:val="20"/>
        </w:rPr>
        <w:t>ami</w:t>
      </w:r>
      <w:r w:rsidRPr="008127C2">
        <w:rPr>
          <w:rFonts w:ascii="Verdana" w:eastAsia="TimesNewRomanPSMT" w:hAnsi="Verdana"/>
          <w:color w:val="000000" w:themeColor="text1"/>
          <w:sz w:val="20"/>
          <w:szCs w:val="20"/>
        </w:rPr>
        <w:t xml:space="preserve"> dalszych działań.</w:t>
      </w:r>
    </w:p>
    <w:p w14:paraId="78965731" w14:textId="77777777" w:rsidR="003C076D" w:rsidRPr="00B01C5C" w:rsidRDefault="003C076D" w:rsidP="003C076D">
      <w:pPr>
        <w:autoSpaceDE w:val="0"/>
        <w:autoSpaceDN w:val="0"/>
        <w:adjustRightInd w:val="0"/>
        <w:spacing w:after="0" w:line="276" w:lineRule="auto"/>
        <w:ind w:left="567" w:hanging="141"/>
        <w:rPr>
          <w:rFonts w:ascii="Verdana" w:eastAsia="TimesNewRomanPSMT" w:hAnsi="Verdana"/>
          <w:color w:val="000000"/>
          <w:sz w:val="20"/>
          <w:szCs w:val="20"/>
        </w:rPr>
      </w:pPr>
    </w:p>
    <w:p w14:paraId="3A9BDFD2" w14:textId="77777777" w:rsidR="003C076D" w:rsidRPr="00B01C5C" w:rsidDel="006E37D3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b/>
          <w:color w:val="000000"/>
          <w:sz w:val="20"/>
          <w:szCs w:val="20"/>
        </w:rPr>
      </w:pPr>
      <w:r w:rsidRPr="00B01C5C"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  <w:t>Harmonogram</w:t>
      </w:r>
      <w:r w:rsidRPr="00B01C5C" w:rsidDel="006E37D3">
        <w:rPr>
          <w:rFonts w:ascii="Verdana" w:eastAsia="TimesNewRomanPS-BoldMT" w:hAnsi="Verdana" w:cstheme="minorHAnsi"/>
          <w:b/>
          <w:color w:val="000000"/>
          <w:sz w:val="20"/>
          <w:szCs w:val="20"/>
        </w:rPr>
        <w:t xml:space="preserve"> realizacji zamówienia</w:t>
      </w:r>
    </w:p>
    <w:p w14:paraId="08E66039" w14:textId="77777777" w:rsidR="003C076D" w:rsidRPr="00B01C5C" w:rsidRDefault="003C076D" w:rsidP="003C076D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Verdana" w:eastAsia="TimesNewRomanPSMT" w:hAnsi="Verdana" w:cstheme="minorHAnsi"/>
          <w:color w:val="000000"/>
          <w:sz w:val="20"/>
          <w:szCs w:val="20"/>
        </w:rPr>
      </w:pPr>
    </w:p>
    <w:p w14:paraId="6D5C690C" w14:textId="7316B9C1" w:rsidR="0084742D" w:rsidRPr="0084742D" w:rsidRDefault="0084742D" w:rsidP="002F5EFD">
      <w:pPr>
        <w:pStyle w:val="Akapitzlist"/>
        <w:numPr>
          <w:ilvl w:val="0"/>
          <w:numId w:val="7"/>
        </w:numPr>
        <w:ind w:left="709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 w:rsidRPr="0084742D">
        <w:rPr>
          <w:rFonts w:ascii="Verdana" w:eastAsia="TimesNewRomanPSMT" w:hAnsi="Verdana"/>
          <w:color w:val="000000" w:themeColor="text1"/>
          <w:sz w:val="20"/>
          <w:szCs w:val="20"/>
        </w:rPr>
        <w:t xml:space="preserve">Przedmiot Umowy będzie wykonywany od dnia zawarcia Umowy do  dnia 15 grudnia 2022 roku, przy czym koncepcje KV przedstawione będą </w:t>
      </w:r>
      <w:r w:rsidR="00C73C05">
        <w:rPr>
          <w:rFonts w:ascii="Verdana" w:eastAsia="TimesNewRomanPSMT" w:hAnsi="Verdana"/>
          <w:color w:val="000000" w:themeColor="text1"/>
          <w:sz w:val="20"/>
          <w:szCs w:val="20"/>
        </w:rPr>
        <w:t>w ciągu 14 dni kalendarzowych od przekazania Wykonawcy przez Zamawiającego bierfu</w:t>
      </w:r>
      <w:r w:rsidR="00C718C4">
        <w:rPr>
          <w:rFonts w:ascii="Verdana" w:eastAsia="TimesNewRomanPSMT" w:hAnsi="Verdana"/>
          <w:color w:val="000000" w:themeColor="text1"/>
          <w:sz w:val="20"/>
          <w:szCs w:val="20"/>
        </w:rPr>
        <w:t xml:space="preserve"> odpowiadającego na pytania o temat, cel, czas i preferowane media do komunikacji,</w:t>
      </w:r>
      <w:r w:rsidRPr="0084742D">
        <w:rPr>
          <w:rFonts w:ascii="Verdana" w:eastAsia="TimesNewRomanPSMT" w:hAnsi="Verdana"/>
          <w:color w:val="000000" w:themeColor="text1"/>
          <w:sz w:val="20"/>
          <w:szCs w:val="20"/>
        </w:rPr>
        <w:t xml:space="preserve"> a raport końcowy zostanie dostarczony do dnia </w:t>
      </w:r>
      <w:r w:rsidR="00C718C4">
        <w:rPr>
          <w:rFonts w:ascii="Verdana" w:eastAsia="TimesNewRomanPSMT" w:hAnsi="Verdana"/>
          <w:color w:val="000000" w:themeColor="text1"/>
          <w:sz w:val="20"/>
          <w:szCs w:val="20"/>
        </w:rPr>
        <w:t>20 grudnia 2022 roku</w:t>
      </w:r>
      <w:r w:rsidRPr="0084742D">
        <w:rPr>
          <w:rFonts w:ascii="Verdana" w:eastAsia="TimesNewRomanPSMT" w:hAnsi="Verdana"/>
          <w:color w:val="000000" w:themeColor="text1"/>
          <w:sz w:val="20"/>
          <w:szCs w:val="20"/>
        </w:rPr>
        <w:t xml:space="preserve">. </w:t>
      </w:r>
    </w:p>
    <w:p w14:paraId="6297CEBF" w14:textId="77777777" w:rsidR="00FF038D" w:rsidRPr="00B01C5C" w:rsidRDefault="00FF038D" w:rsidP="00FF038D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</w:p>
    <w:p w14:paraId="7231FD47" w14:textId="77777777" w:rsidR="003C076D" w:rsidRPr="00B01C5C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 w:cstheme="minorHAnsi"/>
          <w:b/>
          <w:color w:val="000000"/>
          <w:sz w:val="20"/>
          <w:szCs w:val="20"/>
        </w:rPr>
      </w:pPr>
      <w:r w:rsidRPr="00B01C5C">
        <w:rPr>
          <w:rFonts w:ascii="Verdana" w:eastAsia="TimesNewRomanPS-BoldMT" w:hAnsi="Verdana" w:cstheme="minorHAnsi"/>
          <w:b/>
          <w:color w:val="000000"/>
          <w:sz w:val="20"/>
          <w:szCs w:val="20"/>
        </w:rPr>
        <w:t>Podstawowe zasady współpracy</w:t>
      </w:r>
    </w:p>
    <w:p w14:paraId="02CE8714" w14:textId="77777777" w:rsidR="003C076D" w:rsidRPr="004B3D9C" w:rsidRDefault="003C076D" w:rsidP="004B3D9C">
      <w:pPr>
        <w:autoSpaceDE w:val="0"/>
        <w:autoSpaceDN w:val="0"/>
        <w:adjustRightInd w:val="0"/>
        <w:spacing w:after="0" w:line="276" w:lineRule="auto"/>
        <w:ind w:left="360"/>
        <w:rPr>
          <w:rFonts w:ascii="Verdana" w:eastAsia="TimesNewRomanPS-BoldMT" w:hAnsi="Verdana" w:cstheme="minorHAnsi"/>
          <w:b/>
          <w:color w:val="000000"/>
          <w:sz w:val="20"/>
          <w:szCs w:val="20"/>
        </w:rPr>
      </w:pPr>
    </w:p>
    <w:p w14:paraId="4820CE86" w14:textId="5459BC94" w:rsidR="003C076D" w:rsidRDefault="003C076D" w:rsidP="003C07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Wykonawca wyznaczy jedną osobę do ogólnej koordynacji realizacji zamówienia, która będzie współpracowała z osobami wskazanymi przez Zamawiającego.</w:t>
      </w:r>
    </w:p>
    <w:p w14:paraId="11A46717" w14:textId="775A89A4" w:rsidR="00FF038D" w:rsidRDefault="00FF038D" w:rsidP="003C07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t>Działania komunikacyjne będą realizowane na podstawie miesięcznych mediaplanów (uwzględniających działania komunikacyjne realizowane w danym miesiącu) oraz mediaplanów cząstkowych (uwzględniających działania dodatkowe, które nie zostały uwzględnione w planie miesięcznym).</w:t>
      </w:r>
    </w:p>
    <w:p w14:paraId="675F4718" w14:textId="7A0E4800" w:rsidR="001B3EBC" w:rsidRDefault="001B3EBC" w:rsidP="003C07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t>Wykonawca będzie przedstawiał propozycje</w:t>
      </w:r>
      <w:r w:rsidR="001E6657">
        <w:rPr>
          <w:rFonts w:ascii="Verdana" w:eastAsia="TimesNewRomanPSMT" w:hAnsi="Verdana"/>
          <w:color w:val="000000" w:themeColor="text1"/>
          <w:sz w:val="20"/>
          <w:szCs w:val="20"/>
        </w:rPr>
        <w:t xml:space="preserve"> miesięcznych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 xml:space="preserve"> mediaplanów </w:t>
      </w:r>
      <w:r w:rsidR="007E69C8">
        <w:rPr>
          <w:rFonts w:ascii="Verdana" w:eastAsia="TimesNewRomanPSMT" w:hAnsi="Verdana"/>
          <w:color w:val="000000" w:themeColor="text1"/>
          <w:sz w:val="20"/>
          <w:szCs w:val="20"/>
        </w:rPr>
        <w:t xml:space="preserve">nie później niż na </w:t>
      </w:r>
      <w:r w:rsidR="001E6657" w:rsidRPr="002F5EFD">
        <w:rPr>
          <w:rFonts w:ascii="Verdana" w:eastAsia="TimesNewRomanPSMT" w:hAnsi="Verdana"/>
          <w:color w:val="000000" w:themeColor="text1"/>
          <w:sz w:val="20"/>
          <w:szCs w:val="20"/>
          <w:highlight w:val="yellow"/>
        </w:rPr>
        <w:t>3</w:t>
      </w:r>
      <w:r w:rsidR="007E69C8">
        <w:rPr>
          <w:rFonts w:ascii="Verdana" w:eastAsia="TimesNewRomanPSMT" w:hAnsi="Verdana"/>
          <w:color w:val="000000" w:themeColor="text1"/>
          <w:sz w:val="20"/>
          <w:szCs w:val="20"/>
        </w:rPr>
        <w:t xml:space="preserve"> dni</w:t>
      </w:r>
      <w:r w:rsidR="001E6657">
        <w:rPr>
          <w:rFonts w:ascii="Verdana" w:eastAsia="TimesNewRomanPSMT" w:hAnsi="Verdana"/>
          <w:color w:val="000000" w:themeColor="text1"/>
          <w:sz w:val="20"/>
          <w:szCs w:val="20"/>
        </w:rPr>
        <w:t xml:space="preserve"> robocze</w:t>
      </w:r>
      <w:r w:rsidR="007E69C8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="00024CF0">
        <w:rPr>
          <w:rFonts w:ascii="Verdana" w:eastAsia="TimesNewRomanPSMT" w:hAnsi="Verdana"/>
          <w:color w:val="000000" w:themeColor="text1"/>
          <w:sz w:val="20"/>
          <w:szCs w:val="20"/>
        </w:rPr>
        <w:t xml:space="preserve">przed rozpoczęciem danego miesiąca kalendarzowego. </w:t>
      </w:r>
      <w:bookmarkStart w:id="10" w:name="_Hlk91065685"/>
      <w:r w:rsidR="007E69C8">
        <w:rPr>
          <w:rFonts w:ascii="Verdana" w:eastAsia="TimesNewRomanPSMT" w:hAnsi="Verdana"/>
          <w:color w:val="000000" w:themeColor="text1"/>
          <w:sz w:val="20"/>
          <w:szCs w:val="20"/>
        </w:rPr>
        <w:t>P</w:t>
      </w:r>
      <w:r w:rsidR="00024CF0">
        <w:rPr>
          <w:rFonts w:ascii="Verdana" w:eastAsia="TimesNewRomanPSMT" w:hAnsi="Verdana"/>
          <w:color w:val="000000" w:themeColor="text1"/>
          <w:sz w:val="20"/>
          <w:szCs w:val="20"/>
        </w:rPr>
        <w:t>ierwsz</w:t>
      </w:r>
      <w:r w:rsidR="007E69C8">
        <w:rPr>
          <w:rFonts w:ascii="Verdana" w:eastAsia="TimesNewRomanPSMT" w:hAnsi="Verdana"/>
          <w:color w:val="000000" w:themeColor="text1"/>
          <w:sz w:val="20"/>
          <w:szCs w:val="20"/>
        </w:rPr>
        <w:t xml:space="preserve">y </w:t>
      </w:r>
      <w:r w:rsidR="00024CF0">
        <w:rPr>
          <w:rFonts w:ascii="Verdana" w:eastAsia="TimesNewRomanPSMT" w:hAnsi="Verdana"/>
          <w:color w:val="000000" w:themeColor="text1"/>
          <w:sz w:val="20"/>
          <w:szCs w:val="20"/>
        </w:rPr>
        <w:t xml:space="preserve">mediaplan </w:t>
      </w:r>
      <w:r w:rsidR="001E6657">
        <w:rPr>
          <w:rFonts w:ascii="Verdana" w:eastAsia="TimesNewRomanPSMT" w:hAnsi="Verdana"/>
          <w:color w:val="000000" w:themeColor="text1"/>
          <w:sz w:val="20"/>
          <w:szCs w:val="20"/>
        </w:rPr>
        <w:t xml:space="preserve">miesięczny </w:t>
      </w:r>
      <w:r w:rsidR="007E69C8">
        <w:rPr>
          <w:rFonts w:ascii="Verdana" w:eastAsia="TimesNewRomanPSMT" w:hAnsi="Verdana"/>
          <w:color w:val="000000" w:themeColor="text1"/>
          <w:sz w:val="20"/>
          <w:szCs w:val="20"/>
        </w:rPr>
        <w:t>zostanie przedstawiony Zamawiającemu</w:t>
      </w:r>
      <w:r w:rsidR="00024CF0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="00B6234D">
        <w:rPr>
          <w:rFonts w:ascii="Verdana" w:eastAsia="TimesNewRomanPSMT" w:hAnsi="Verdana"/>
          <w:color w:val="000000" w:themeColor="text1"/>
          <w:sz w:val="20"/>
          <w:szCs w:val="20"/>
        </w:rPr>
        <w:t xml:space="preserve">do </w:t>
      </w:r>
      <w:r w:rsidR="001E6657">
        <w:rPr>
          <w:rFonts w:ascii="Verdana" w:eastAsia="TimesNewRomanPSMT" w:hAnsi="Verdana"/>
          <w:color w:val="000000" w:themeColor="text1"/>
          <w:sz w:val="20"/>
          <w:szCs w:val="20"/>
        </w:rPr>
        <w:t>3</w:t>
      </w:r>
      <w:r w:rsidR="00B6234D">
        <w:rPr>
          <w:rFonts w:ascii="Verdana" w:eastAsia="TimesNewRomanPSMT" w:hAnsi="Verdana"/>
          <w:color w:val="000000" w:themeColor="text1"/>
          <w:sz w:val="20"/>
          <w:szCs w:val="20"/>
        </w:rPr>
        <w:t xml:space="preserve"> dni po zawarciu umowy. </w:t>
      </w:r>
      <w:r w:rsidR="001E6657">
        <w:rPr>
          <w:rFonts w:ascii="Verdana" w:eastAsia="TimesNewRomanPSMT" w:hAnsi="Verdana"/>
          <w:color w:val="000000" w:themeColor="text1"/>
          <w:sz w:val="20"/>
          <w:szCs w:val="20"/>
        </w:rPr>
        <w:t>Mediaplany cząstkowe będą powstawać na zlecenie Zamawiającego</w:t>
      </w:r>
      <w:r w:rsidR="00296A29">
        <w:rPr>
          <w:rFonts w:ascii="Verdana" w:eastAsia="TimesNewRomanPSMT" w:hAnsi="Verdana"/>
          <w:color w:val="000000" w:themeColor="text1"/>
          <w:sz w:val="20"/>
          <w:szCs w:val="20"/>
        </w:rPr>
        <w:t>, w razie potrzeby aktualizacji mediaplanów miesięcznych.</w:t>
      </w:r>
    </w:p>
    <w:bookmarkEnd w:id="10"/>
    <w:p w14:paraId="039CF3A8" w14:textId="642D14A0" w:rsidR="001E6657" w:rsidRPr="00B01C5C" w:rsidRDefault="001E6657" w:rsidP="003C076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t>Koncepcje KV i przeformatowania powstaną na odrębne zlecenie Zamawiającego</w:t>
      </w:r>
      <w:r w:rsidR="0009654D">
        <w:rPr>
          <w:rFonts w:ascii="Verdana" w:eastAsia="TimesNewRomanPSMT" w:hAnsi="Verdana"/>
          <w:color w:val="000000" w:themeColor="text1"/>
          <w:sz w:val="20"/>
          <w:szCs w:val="20"/>
        </w:rPr>
        <w:t>, chyba że zostało to ujęte w mediaplanie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 xml:space="preserve">. </w:t>
      </w:r>
    </w:p>
    <w:p w14:paraId="2D9FD6BB" w14:textId="49E12549" w:rsidR="003C076D" w:rsidRPr="00B01C5C" w:rsidRDefault="003C076D" w:rsidP="003C07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W trakcie realizacji zamówienia Wykonawca będzie na bieżąco współpracował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z Zamawiającym lub innymi osobami wskazanymi przez Zamawiającego, niebędącymi pracownikami Zamawiającego.</w:t>
      </w:r>
    </w:p>
    <w:p w14:paraId="67FD8B90" w14:textId="5D604B3E" w:rsidR="003C076D" w:rsidRPr="00B01C5C" w:rsidRDefault="003C076D" w:rsidP="003C076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Przy realizacji zamówienia Strony będą porozumiewały się ze sobą drogą mailową oraz telefoniczną.</w:t>
      </w:r>
      <w:r w:rsidR="007E69C8">
        <w:rPr>
          <w:rFonts w:ascii="Verdana" w:eastAsia="TimesNewRomanPSMT" w:hAnsi="Verdana"/>
          <w:color w:val="000000" w:themeColor="text1"/>
          <w:sz w:val="20"/>
          <w:szCs w:val="20"/>
        </w:rPr>
        <w:t xml:space="preserve"> Zamawiający może wyznaczyć</w:t>
      </w:r>
      <w:r w:rsidR="00E82E0B">
        <w:rPr>
          <w:rFonts w:ascii="Verdana" w:eastAsia="TimesNewRomanPSMT" w:hAnsi="Verdana"/>
          <w:color w:val="000000" w:themeColor="text1"/>
          <w:sz w:val="20"/>
          <w:szCs w:val="20"/>
        </w:rPr>
        <w:t xml:space="preserve"> spotkania z Wykonawcą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="00E82E0B">
        <w:rPr>
          <w:rFonts w:ascii="Verdana" w:eastAsia="TimesNewRomanPSMT" w:hAnsi="Verdana"/>
          <w:color w:val="000000" w:themeColor="text1"/>
          <w:sz w:val="20"/>
          <w:szCs w:val="20"/>
        </w:rPr>
        <w:t>za pośrednictwem środków porozumiewania się na odległość, przy czym termin spotkania powinien być w miarę możliwości ustalony z Wykonawcą.</w:t>
      </w:r>
    </w:p>
    <w:p w14:paraId="3225DF32" w14:textId="47B70DC5" w:rsidR="003C076D" w:rsidRPr="00C91161" w:rsidRDefault="003C076D" w:rsidP="00FF0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Wszystkie materiały, które powstaną w trakcie realizacji zamówienia muszą być przedstawione do ostatecznej akceptacji Zamawiającego przed wyprodukowaniem i/lub upublicznieniem.</w:t>
      </w:r>
    </w:p>
    <w:p w14:paraId="67396BA9" w14:textId="0F3614FB" w:rsidR="001E6657" w:rsidRPr="002F5EFD" w:rsidRDefault="00C91161" w:rsidP="00FF0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t>Wykonawca będzie wystawiał faktury VAT na podstawie zaakceptowanych przez Zamawiającego mediaplanów</w:t>
      </w:r>
      <w:r w:rsidR="00E31675">
        <w:rPr>
          <w:rFonts w:ascii="Verdana" w:eastAsia="TimesNewRomanPSMT" w:hAnsi="Verdana"/>
          <w:color w:val="000000" w:themeColor="text1"/>
          <w:sz w:val="20"/>
          <w:szCs w:val="20"/>
        </w:rPr>
        <w:t xml:space="preserve"> miesięcznych i cząstkowych oraz</w:t>
      </w:r>
      <w:r w:rsidR="00215187">
        <w:rPr>
          <w:rFonts w:ascii="Verdana" w:eastAsia="TimesNewRomanPSMT" w:hAnsi="Verdana"/>
          <w:color w:val="000000" w:themeColor="text1"/>
          <w:sz w:val="20"/>
          <w:szCs w:val="20"/>
        </w:rPr>
        <w:t xml:space="preserve"> odpowiednio</w:t>
      </w:r>
      <w:r w:rsidR="00E31675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="00215187">
        <w:rPr>
          <w:rFonts w:ascii="Verdana" w:eastAsia="TimesNewRomanPSMT" w:hAnsi="Verdana"/>
          <w:color w:val="000000" w:themeColor="text1"/>
          <w:sz w:val="20"/>
          <w:szCs w:val="20"/>
        </w:rPr>
        <w:t>r</w:t>
      </w:r>
      <w:r w:rsidR="00E31675">
        <w:rPr>
          <w:rFonts w:ascii="Verdana" w:eastAsia="TimesNewRomanPSMT" w:hAnsi="Verdana"/>
          <w:color w:val="000000" w:themeColor="text1"/>
          <w:sz w:val="20"/>
          <w:szCs w:val="20"/>
        </w:rPr>
        <w:t>aport</w:t>
      </w:r>
      <w:r w:rsidR="00215187">
        <w:rPr>
          <w:rFonts w:ascii="Verdana" w:eastAsia="TimesNewRomanPSMT" w:hAnsi="Verdana"/>
          <w:color w:val="000000" w:themeColor="text1"/>
          <w:sz w:val="20"/>
          <w:szCs w:val="20"/>
        </w:rPr>
        <w:t xml:space="preserve">u </w:t>
      </w:r>
      <w:r w:rsidR="00041A17">
        <w:rPr>
          <w:rFonts w:ascii="Verdana" w:eastAsia="TimesNewRomanPSMT" w:hAnsi="Verdana"/>
          <w:color w:val="000000" w:themeColor="text1"/>
          <w:sz w:val="20"/>
          <w:szCs w:val="20"/>
        </w:rPr>
        <w:t>miesięcznego lub</w:t>
      </w:r>
      <w:r w:rsidR="00215187">
        <w:rPr>
          <w:rFonts w:ascii="Verdana" w:eastAsia="TimesNewRomanPSMT" w:hAnsi="Verdana"/>
          <w:color w:val="000000" w:themeColor="text1"/>
          <w:sz w:val="20"/>
          <w:szCs w:val="20"/>
        </w:rPr>
        <w:t xml:space="preserve"> końcowego</w:t>
      </w:r>
      <w:r w:rsidR="001E6657">
        <w:rPr>
          <w:rFonts w:ascii="Verdana" w:eastAsia="TimesNewRomanPSMT" w:hAnsi="Verdana"/>
          <w:color w:val="000000" w:themeColor="text1"/>
          <w:sz w:val="20"/>
          <w:szCs w:val="20"/>
        </w:rPr>
        <w:t>.</w:t>
      </w:r>
    </w:p>
    <w:p w14:paraId="54981987" w14:textId="3FF118C6" w:rsidR="00C91161" w:rsidRPr="00FF038D" w:rsidRDefault="001E6657" w:rsidP="00FF0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lastRenderedPageBreak/>
        <w:t xml:space="preserve">Prowizja zawiera </w:t>
      </w:r>
      <w:r w:rsidR="00C718C4">
        <w:rPr>
          <w:rFonts w:ascii="Verdana" w:eastAsia="TimesNewRomanPSMT" w:hAnsi="Verdana"/>
          <w:color w:val="000000" w:themeColor="text1"/>
          <w:sz w:val="20"/>
          <w:szCs w:val="20"/>
        </w:rPr>
        <w:t xml:space="preserve">pełne 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 xml:space="preserve">wynagrodzenie Wykonawcy za </w:t>
      </w:r>
      <w:r w:rsidR="00C718C4">
        <w:rPr>
          <w:rFonts w:ascii="Verdana" w:eastAsia="TimesNewRomanPSMT" w:hAnsi="Verdana"/>
          <w:color w:val="000000" w:themeColor="text1"/>
          <w:sz w:val="20"/>
          <w:szCs w:val="20"/>
        </w:rPr>
        <w:t>zakup mediów, obecności na wydarzeniach specjalnych</w:t>
      </w:r>
      <w:r w:rsidR="001A7C25">
        <w:rPr>
          <w:rFonts w:ascii="Verdana" w:eastAsia="TimesNewRomanPSMT" w:hAnsi="Verdana"/>
          <w:color w:val="000000" w:themeColor="text1"/>
          <w:sz w:val="20"/>
          <w:szCs w:val="20"/>
        </w:rPr>
        <w:t xml:space="preserve"> oraz zakupu innych powierzchni do prezentacji marki Łukasiewicz. Osobne wynagrodzenie jest należne Wykonawcy za</w:t>
      </w:r>
      <w:r w:rsidR="00C718C4">
        <w:rPr>
          <w:rFonts w:ascii="Verdana" w:eastAsia="TimesNewRomanPSMT" w:hAnsi="Verdana"/>
          <w:color w:val="000000" w:themeColor="text1"/>
          <w:sz w:val="20"/>
          <w:szCs w:val="20"/>
        </w:rPr>
        <w:t xml:space="preserve"> opracowanie KV</w:t>
      </w:r>
      <w:r w:rsidR="001A7C25">
        <w:rPr>
          <w:rFonts w:ascii="Verdana" w:eastAsia="TimesNewRomanPSMT" w:hAnsi="Verdana"/>
          <w:color w:val="000000" w:themeColor="text1"/>
          <w:sz w:val="20"/>
          <w:szCs w:val="20"/>
        </w:rPr>
        <w:t xml:space="preserve"> oraz </w:t>
      </w:r>
      <w:r w:rsidR="00C718C4">
        <w:rPr>
          <w:rFonts w:ascii="Verdana" w:eastAsia="TimesNewRomanPSMT" w:hAnsi="Verdana"/>
          <w:color w:val="000000" w:themeColor="text1"/>
          <w:sz w:val="20"/>
          <w:szCs w:val="20"/>
        </w:rPr>
        <w:t>dokonanie przeformatowań</w:t>
      </w:r>
      <w:r w:rsidR="001A7C25">
        <w:rPr>
          <w:rFonts w:ascii="Verdana" w:eastAsia="TimesNewRomanPSMT" w:hAnsi="Verdana"/>
          <w:color w:val="000000" w:themeColor="text1"/>
          <w:sz w:val="20"/>
          <w:szCs w:val="20"/>
        </w:rPr>
        <w:t>. Opracowanie KV’s oraz konieczność dokonania przeformatowań zostaną uwzględnione w mediaplanach będących podstawą realizacji działań</w:t>
      </w:r>
    </w:p>
    <w:p w14:paraId="46DB75B0" w14:textId="77777777" w:rsidR="00FF038D" w:rsidRPr="004B3D9C" w:rsidRDefault="00FF038D" w:rsidP="004B3D9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NewRomanPSMT" w:hAnsi="Verdana" w:cstheme="minorHAnsi"/>
          <w:color w:val="000000"/>
          <w:sz w:val="20"/>
          <w:szCs w:val="20"/>
        </w:rPr>
      </w:pPr>
    </w:p>
    <w:p w14:paraId="71F058AD" w14:textId="77777777" w:rsidR="003C076D" w:rsidRPr="00B01C5C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/>
          <w:b/>
          <w:bCs/>
          <w:color w:val="000000"/>
          <w:sz w:val="20"/>
          <w:szCs w:val="20"/>
        </w:rPr>
      </w:pPr>
      <w:r w:rsidRPr="00B01C5C"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  <w:t>Budżet przewidziany na realizację przedmiotu zamówienia</w:t>
      </w:r>
    </w:p>
    <w:p w14:paraId="2C86EB0C" w14:textId="77777777" w:rsidR="003C076D" w:rsidRPr="00B01C5C" w:rsidRDefault="003C076D" w:rsidP="003C076D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Verdana" w:eastAsia="TimesNewRomanPSMT" w:hAnsi="Verdana" w:cstheme="minorHAnsi"/>
          <w:b/>
          <w:bCs/>
          <w:color w:val="000000"/>
          <w:sz w:val="20"/>
          <w:szCs w:val="20"/>
        </w:rPr>
      </w:pPr>
    </w:p>
    <w:p w14:paraId="08DD5F3B" w14:textId="77777777" w:rsidR="008E1AB9" w:rsidRDefault="003C076D" w:rsidP="008E1A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Zamawiający przewidział budżet na realizację całości zadania opisanego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w niniejszym OPZ na maksymalnym poziomie </w:t>
      </w:r>
      <w:bookmarkStart w:id="11" w:name="_Hlk89342551"/>
      <w:r w:rsidR="00B246DD" w:rsidRPr="00B246DD">
        <w:rPr>
          <w:rFonts w:ascii="Verdana" w:eastAsia="TimesNewRomanPSMT" w:hAnsi="Verdana"/>
          <w:color w:val="000000" w:themeColor="text1"/>
          <w:sz w:val="20"/>
          <w:szCs w:val="20"/>
        </w:rPr>
        <w:t>1</w:t>
      </w:r>
      <w:r w:rsidR="00B246DD">
        <w:rPr>
          <w:rFonts w:ascii="Verdana" w:eastAsia="TimesNewRomanPSMT" w:hAnsi="Verdana"/>
          <w:color w:val="000000" w:themeColor="text1"/>
          <w:sz w:val="20"/>
          <w:szCs w:val="20"/>
        </w:rPr>
        <w:t>.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t>360</w:t>
      </w:r>
      <w:r w:rsidR="009B7A49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t>000,00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="00B246DD">
        <w:rPr>
          <w:rFonts w:ascii="Verdana" w:eastAsia="TimesNewRomanPSMT" w:hAnsi="Verdana"/>
          <w:color w:val="000000" w:themeColor="text1"/>
          <w:sz w:val="20"/>
          <w:szCs w:val="20"/>
        </w:rPr>
        <w:t xml:space="preserve">zł 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netto</w:t>
      </w:r>
      <w:bookmarkEnd w:id="11"/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, czyli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="00B246DD" w:rsidRPr="00B246DD">
        <w:rPr>
          <w:rFonts w:ascii="Verdana" w:eastAsia="TimesNewRomanPSMT" w:hAnsi="Verdana"/>
          <w:color w:val="000000" w:themeColor="text1"/>
          <w:sz w:val="20"/>
          <w:szCs w:val="20"/>
        </w:rPr>
        <w:t>1</w:t>
      </w:r>
      <w:r w:rsidR="00B246DD">
        <w:rPr>
          <w:rFonts w:ascii="Verdana" w:eastAsia="TimesNewRomanPSMT" w:hAnsi="Verdana"/>
          <w:color w:val="000000" w:themeColor="text1"/>
          <w:sz w:val="20"/>
          <w:szCs w:val="20"/>
        </w:rPr>
        <w:t>.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t>672 800,00</w:t>
      </w:r>
      <w:r w:rsidR="00B246DD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zł brutto.</w:t>
      </w:r>
      <w:r w:rsidR="00C6089A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</w:p>
    <w:p w14:paraId="751E73AE" w14:textId="52336EAD" w:rsidR="004B05DF" w:rsidRPr="004B05DF" w:rsidRDefault="004B05DF" w:rsidP="00A236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t>Szac</w:t>
      </w:r>
      <w:r w:rsidR="0008401F">
        <w:rPr>
          <w:rFonts w:ascii="Verdana" w:eastAsia="TimesNewRomanPSMT" w:hAnsi="Verdana"/>
          <w:color w:val="000000" w:themeColor="text1"/>
          <w:sz w:val="20"/>
          <w:szCs w:val="20"/>
        </w:rPr>
        <w:t>u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 xml:space="preserve">nkowo </w:t>
      </w:r>
      <w:r w:rsidR="0008401F">
        <w:rPr>
          <w:rFonts w:ascii="Verdana" w:eastAsia="TimesNewRomanPSMT" w:hAnsi="Verdana"/>
          <w:color w:val="000000" w:themeColor="text1"/>
          <w:sz w:val="20"/>
          <w:szCs w:val="20"/>
        </w:rPr>
        <w:t xml:space="preserve">całościowy koszt udziału w wydarzeniach specjalnych w okresie obowiązywania umowy zamknie się w kwocie 650.000 zł netto. Szacunki te nie są wiążące dla Zamawiającego i może on zdecydować w trakcie trwania umowy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="0008401F">
        <w:rPr>
          <w:rFonts w:ascii="Verdana" w:eastAsia="TimesNewRomanPSMT" w:hAnsi="Verdana"/>
          <w:color w:val="000000" w:themeColor="text1"/>
          <w:sz w:val="20"/>
          <w:szCs w:val="20"/>
        </w:rPr>
        <w:t>o przesunięciu środków na inne zadania opisane w OPZ.</w:t>
      </w:r>
    </w:p>
    <w:p w14:paraId="5B35168B" w14:textId="061F2D6D" w:rsidR="00A23688" w:rsidRPr="00296C2F" w:rsidRDefault="00A23688" w:rsidP="00A236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Verdana" w:eastAsia="TimesNewRomanPSMT" w:hAnsi="Verdana"/>
          <w:color w:val="000000" w:themeColor="text1"/>
          <w:sz w:val="20"/>
          <w:szCs w:val="20"/>
        </w:rPr>
      </w:pPr>
      <w:r w:rsidRPr="00A23688">
        <w:rPr>
          <w:rFonts w:ascii="Verdana" w:hAnsi="Verdana" w:cs="Times New Roman"/>
          <w:sz w:val="20"/>
          <w:szCs w:val="20"/>
        </w:rPr>
        <w:t xml:space="preserve">Przedmiot </w:t>
      </w:r>
      <w:r>
        <w:rPr>
          <w:rFonts w:ascii="Verdana" w:hAnsi="Verdana" w:cs="Times New Roman"/>
          <w:sz w:val="20"/>
          <w:szCs w:val="20"/>
        </w:rPr>
        <w:t>zadania</w:t>
      </w:r>
      <w:r w:rsidRPr="00A23688">
        <w:rPr>
          <w:rFonts w:ascii="Verdana" w:hAnsi="Verdana" w:cs="Times New Roman"/>
          <w:sz w:val="20"/>
          <w:szCs w:val="20"/>
        </w:rPr>
        <w:t xml:space="preserve"> będzie finansowany ze środków subwencji</w:t>
      </w:r>
      <w:r w:rsidR="00296C2F">
        <w:rPr>
          <w:rFonts w:ascii="Verdana" w:hAnsi="Verdana" w:cs="Times New Roman"/>
          <w:sz w:val="20"/>
          <w:szCs w:val="20"/>
        </w:rPr>
        <w:t>;</w:t>
      </w:r>
    </w:p>
    <w:p w14:paraId="6A7B859E" w14:textId="77777777" w:rsidR="00BD5976" w:rsidRPr="00B01C5C" w:rsidRDefault="00BD5976" w:rsidP="003C076D">
      <w:pPr>
        <w:autoSpaceDE w:val="0"/>
        <w:autoSpaceDN w:val="0"/>
        <w:adjustRightInd w:val="0"/>
        <w:spacing w:after="0" w:line="276" w:lineRule="auto"/>
        <w:rPr>
          <w:rFonts w:ascii="Verdana" w:eastAsia="TimesNewRomanPSMT" w:hAnsi="Verdana" w:cstheme="minorHAnsi"/>
          <w:b/>
          <w:bCs/>
          <w:color w:val="000000"/>
          <w:sz w:val="20"/>
          <w:szCs w:val="20"/>
        </w:rPr>
      </w:pPr>
    </w:p>
    <w:p w14:paraId="48E22DDF" w14:textId="77777777" w:rsidR="003C076D" w:rsidRPr="00B01C5C" w:rsidRDefault="003C076D" w:rsidP="003C07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-BoldMT" w:hAnsi="Verdana"/>
          <w:b/>
          <w:bCs/>
          <w:color w:val="000000"/>
          <w:sz w:val="20"/>
          <w:szCs w:val="20"/>
        </w:rPr>
      </w:pPr>
      <w:r w:rsidRPr="00B01C5C">
        <w:rPr>
          <w:rFonts w:ascii="Verdana" w:eastAsia="TimesNewRomanPS-BoldMT" w:hAnsi="Verdana"/>
          <w:b/>
          <w:bCs/>
          <w:color w:val="000000" w:themeColor="text1"/>
          <w:sz w:val="20"/>
          <w:szCs w:val="20"/>
        </w:rPr>
        <w:t>Dodatkowe informacje</w:t>
      </w:r>
    </w:p>
    <w:p w14:paraId="28068F8B" w14:textId="77777777" w:rsidR="003C076D" w:rsidRPr="00B01C5C" w:rsidRDefault="003C076D" w:rsidP="003C076D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Verdana" w:eastAsia="TimesNewRomanPS-BoldMT" w:hAnsi="Verdana" w:cstheme="minorHAnsi"/>
          <w:b/>
          <w:bCs/>
          <w:color w:val="000000"/>
          <w:sz w:val="20"/>
          <w:szCs w:val="20"/>
        </w:rPr>
      </w:pPr>
    </w:p>
    <w:p w14:paraId="1EBD7E92" w14:textId="7EA2239A" w:rsidR="003C076D" w:rsidRPr="00B01C5C" w:rsidRDefault="00734335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t>Komunikacja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powin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>n</w:t>
      </w:r>
      <w:r w:rsidR="00471F9C">
        <w:rPr>
          <w:rFonts w:ascii="Verdana" w:eastAsia="TimesNewRomanPSMT" w:hAnsi="Verdana"/>
          <w:color w:val="000000" w:themeColor="text1"/>
          <w:sz w:val="20"/>
          <w:szCs w:val="20"/>
        </w:rPr>
        <w:t>a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zagwarantować zbudowanie jak największego zasięgu</w:t>
      </w:r>
      <w:r w:rsidR="00C91161">
        <w:rPr>
          <w:rFonts w:ascii="Verdana" w:eastAsia="TimesNewRomanPSMT" w:hAnsi="Verdana"/>
          <w:color w:val="000000" w:themeColor="text1"/>
          <w:sz w:val="20"/>
          <w:szCs w:val="20"/>
        </w:rPr>
        <w:t xml:space="preserve"> dla przekazu Łukasiewicza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 xml:space="preserve">, być 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>efektywn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>a</w:t>
      </w:r>
      <w:r w:rsidR="00C91161">
        <w:rPr>
          <w:rFonts w:ascii="Verdana" w:eastAsia="TimesNewRomanPSMT" w:hAnsi="Verdana"/>
          <w:color w:val="000000" w:themeColor="text1"/>
          <w:sz w:val="20"/>
          <w:szCs w:val="20"/>
        </w:rPr>
        <w:t xml:space="preserve"> i nieszablonowa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. </w:t>
      </w:r>
    </w:p>
    <w:p w14:paraId="66AD6DEB" w14:textId="4725800C" w:rsidR="003C076D" w:rsidRPr="00B01C5C" w:rsidRDefault="003C076D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Wykonawca jest odpowiedzialny za poprawność językową (stylistyczną, gramatyczną i ortograficzną) tekstów wykorzystywanych w </w:t>
      </w:r>
      <w:r w:rsidR="00734335">
        <w:rPr>
          <w:rFonts w:ascii="Verdana" w:eastAsia="TimesNewRomanPSMT" w:hAnsi="Verdana"/>
          <w:color w:val="000000" w:themeColor="text1"/>
          <w:sz w:val="20"/>
          <w:szCs w:val="20"/>
        </w:rPr>
        <w:t>działaniach komunikacyjnych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.</w:t>
      </w:r>
    </w:p>
    <w:p w14:paraId="265ECA22" w14:textId="1A29C4EE" w:rsidR="003C076D" w:rsidRPr="00B01C5C" w:rsidRDefault="003C076D" w:rsidP="003C07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W</w:t>
      </w:r>
      <w:r w:rsidRPr="00B01C5C" w:rsidDel="000D2764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celu zwiększenia skuteczności prowadzonych działań Wykonawca zobowiązany jest do optymalizowania kreacji oraz wprowadzania zmian zarówno w kreacji jak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i w formacie po uprzedniej akceptacji takich zmian przez Zamawiającego.</w:t>
      </w:r>
    </w:p>
    <w:p w14:paraId="1D7D3433" w14:textId="4F74AF62" w:rsidR="003C076D" w:rsidRPr="00B01C5C" w:rsidRDefault="003C076D" w:rsidP="003C076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hAnsi="Verdana"/>
          <w:sz w:val="20"/>
          <w:szCs w:val="20"/>
        </w:rPr>
        <w:t xml:space="preserve">Wykonawca w czasie trwania umowy może zwrócić się do Zamawiającego </w:t>
      </w:r>
      <w:r w:rsidR="007D06D6">
        <w:rPr>
          <w:rFonts w:ascii="Verdana" w:hAnsi="Verdana"/>
          <w:sz w:val="20"/>
          <w:szCs w:val="20"/>
        </w:rPr>
        <w:br/>
      </w:r>
      <w:r w:rsidRPr="00B01C5C">
        <w:rPr>
          <w:rFonts w:ascii="Verdana" w:hAnsi="Verdana"/>
          <w:sz w:val="20"/>
          <w:szCs w:val="20"/>
        </w:rPr>
        <w:t xml:space="preserve">z wnioskiem o 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zmianę lub modyfikację harmonogramu działań lub media planu, jeżeli wynika to z optymalizacji działań na podstawie raportów efektywności, interesu wizerunkowego Zamawiającego lub proponowana zmiana wpłynie pozytywnie na osiągnięcie wskaźników dotarcia.</w:t>
      </w:r>
    </w:p>
    <w:p w14:paraId="674844B1" w14:textId="2441E158" w:rsidR="003C076D" w:rsidRPr="00B01C5C" w:rsidRDefault="003C076D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Wykonawca zobowiązany jest do prowadzenia stałego monitoringu realizowanych działań </w:t>
      </w:r>
      <w:r w:rsidR="00734335">
        <w:rPr>
          <w:rFonts w:ascii="Verdana" w:eastAsia="TimesNewRomanPSMT" w:hAnsi="Verdana"/>
          <w:color w:val="000000" w:themeColor="text1"/>
          <w:sz w:val="20"/>
          <w:szCs w:val="20"/>
        </w:rPr>
        <w:t>komunikacyjnych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oraz optymalizacji efektywności </w:t>
      </w:r>
      <w:r w:rsidR="00734335">
        <w:rPr>
          <w:rFonts w:ascii="Verdana" w:eastAsia="TimesNewRomanPSMT" w:hAnsi="Verdana"/>
          <w:color w:val="000000" w:themeColor="text1"/>
          <w:sz w:val="20"/>
          <w:szCs w:val="20"/>
        </w:rPr>
        <w:t xml:space="preserve">ich 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przebiegu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na podstawie prowadzonej analizy statystyk. Wyniki monitoringu mogą stanowić podstawę do zmiany harmonogramu, który musi być przedstawiony </w:t>
      </w:r>
      <w:r w:rsidR="007D06D6">
        <w:rPr>
          <w:rFonts w:ascii="Verdana" w:eastAsia="TimesNewRomanPSMT" w:hAnsi="Verdana"/>
          <w:color w:val="000000" w:themeColor="text1"/>
          <w:sz w:val="20"/>
          <w:szCs w:val="20"/>
        </w:rPr>
        <w:br/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i zaakceptowany przez Zamawiającego. </w:t>
      </w:r>
    </w:p>
    <w:p w14:paraId="5A803508" w14:textId="6139A473" w:rsidR="003C076D" w:rsidRPr="00B01C5C" w:rsidRDefault="003C076D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/>
          <w:sz w:val="20"/>
          <w:szCs w:val="20"/>
        </w:rPr>
        <w:t xml:space="preserve">Wykonawca, za zgodą Zamawiającego, zobowiązany jest do wprowadzania zmian </w:t>
      </w:r>
      <w:r w:rsidR="00044C30">
        <w:rPr>
          <w:rFonts w:ascii="Verdana" w:eastAsia="TimesNewRomanPSMT" w:hAnsi="Verdana"/>
          <w:color w:val="000000"/>
          <w:sz w:val="20"/>
          <w:szCs w:val="20"/>
        </w:rPr>
        <w:t xml:space="preserve">w </w:t>
      </w:r>
      <w:r w:rsidR="00E838A2">
        <w:rPr>
          <w:rFonts w:ascii="Verdana" w:eastAsia="TimesNewRomanPSMT" w:hAnsi="Verdana"/>
          <w:color w:val="000000"/>
          <w:sz w:val="20"/>
          <w:szCs w:val="20"/>
        </w:rPr>
        <w:t>zakresie zakupu mediów</w:t>
      </w:r>
      <w:r w:rsidR="00044C30">
        <w:rPr>
          <w:rFonts w:ascii="Verdana" w:eastAsia="TimesNewRomanPSMT" w:hAnsi="Verdana"/>
          <w:color w:val="000000"/>
          <w:sz w:val="20"/>
          <w:szCs w:val="20"/>
        </w:rPr>
        <w:t xml:space="preserve"> </w:t>
      </w:r>
      <w:r w:rsidRPr="00B01C5C">
        <w:rPr>
          <w:rFonts w:ascii="Verdana" w:eastAsia="TimesNewRomanPSMT" w:hAnsi="Verdana"/>
          <w:color w:val="000000"/>
          <w:sz w:val="20"/>
          <w:szCs w:val="20"/>
        </w:rPr>
        <w:t xml:space="preserve">w </w:t>
      </w:r>
      <w:r w:rsidR="00044C30">
        <w:rPr>
          <w:rFonts w:ascii="Verdana" w:eastAsia="TimesNewRomanPSMT" w:hAnsi="Verdana"/>
          <w:color w:val="000000"/>
          <w:sz w:val="20"/>
          <w:szCs w:val="20"/>
        </w:rPr>
        <w:t>przypadku</w:t>
      </w:r>
      <w:r w:rsidRPr="00B01C5C">
        <w:rPr>
          <w:rFonts w:ascii="Verdana" w:eastAsia="TimesNewRomanPSMT" w:hAnsi="Verdana"/>
          <w:color w:val="000000"/>
          <w:sz w:val="20"/>
          <w:szCs w:val="20"/>
        </w:rPr>
        <w:t>:</w:t>
      </w:r>
    </w:p>
    <w:p w14:paraId="037F61FB" w14:textId="77777777" w:rsidR="003C076D" w:rsidRPr="00B01C5C" w:rsidRDefault="003C076D" w:rsidP="003C07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zmiany przez medium ustalonego wcześniej terminu publikacji lub zaprzestania prowadzenia działalności przez medium;</w:t>
      </w:r>
    </w:p>
    <w:p w14:paraId="48DE8724" w14:textId="4CE57036" w:rsidR="003C076D" w:rsidRPr="00B01C5C" w:rsidRDefault="00044C30" w:rsidP="003C07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>
        <w:rPr>
          <w:rFonts w:ascii="Verdana" w:eastAsia="TimesNewRomanPSMT" w:hAnsi="Verdana"/>
          <w:color w:val="000000" w:themeColor="text1"/>
          <w:sz w:val="20"/>
          <w:szCs w:val="20"/>
        </w:rPr>
        <w:t>zgłoszenia przez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Zamawiającego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 xml:space="preserve"> konieczności zmiany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>
        <w:rPr>
          <w:rFonts w:ascii="Verdana" w:eastAsia="TimesNewRomanPSMT" w:hAnsi="Verdana"/>
          <w:color w:val="000000" w:themeColor="text1"/>
          <w:sz w:val="20"/>
          <w:szCs w:val="20"/>
        </w:rPr>
        <w:t>w zakresie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prostej zmiany kreacji i/lub hasła w związku z obiektywnym wydarzeniem zewnętrznym – powodującym niestosowność, dwuznaczność, </w:t>
      </w:r>
      <w:r w:rsidR="00E838A2">
        <w:rPr>
          <w:rFonts w:ascii="Verdana" w:eastAsia="TimesNewRomanPSMT" w:hAnsi="Verdana"/>
          <w:color w:val="000000" w:themeColor="text1"/>
          <w:sz w:val="20"/>
          <w:szCs w:val="20"/>
        </w:rPr>
        <w:t>prowadzonej komunikacji</w:t>
      </w:r>
      <w:r w:rsidR="003C076D" w:rsidRPr="00B01C5C">
        <w:rPr>
          <w:rFonts w:ascii="Verdana" w:eastAsia="TimesNewRomanPSMT" w:hAnsi="Verdana"/>
          <w:color w:val="000000" w:themeColor="text1"/>
          <w:sz w:val="20"/>
          <w:szCs w:val="20"/>
        </w:rPr>
        <w:t>;</w:t>
      </w:r>
    </w:p>
    <w:p w14:paraId="1BF34952" w14:textId="77777777" w:rsidR="003C076D" w:rsidRPr="00B01C5C" w:rsidRDefault="003C076D" w:rsidP="003C07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zgłoszenia przez Zamawiającego konieczności rezygnacji z obecności danego medium w mediaplanie w celu ochrony wizerunku Zamawiającego.</w:t>
      </w:r>
    </w:p>
    <w:p w14:paraId="5F508F13" w14:textId="4497F66A" w:rsidR="003C076D" w:rsidRPr="00B01C5C" w:rsidRDefault="003C076D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Wykonawca zobowiązany jest raportować efekty swoich działań w cyklu </w:t>
      </w:r>
      <w:r w:rsidR="00BD5976">
        <w:rPr>
          <w:rFonts w:ascii="Verdana" w:eastAsia="TimesNewRomanPSMT" w:hAnsi="Verdana"/>
          <w:color w:val="000000" w:themeColor="text1"/>
          <w:sz w:val="20"/>
          <w:szCs w:val="20"/>
        </w:rPr>
        <w:t>miesięcznym</w:t>
      </w: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 xml:space="preserve"> oraz podsumować działania w raporcie końcowym.</w:t>
      </w:r>
    </w:p>
    <w:p w14:paraId="308DC643" w14:textId="4E7798F8" w:rsidR="003C076D" w:rsidRPr="00B01C5C" w:rsidRDefault="003C076D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lastRenderedPageBreak/>
        <w:t xml:space="preserve">Wykonawca jest zobowiązany zapewnić wgląd (dane dostępowe) do narzędzi analitycznych stosowanych w działaniach. </w:t>
      </w:r>
    </w:p>
    <w:p w14:paraId="49FBC391" w14:textId="3231E3F8" w:rsidR="003C076D" w:rsidRPr="002F5EFD" w:rsidRDefault="003C076D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20"/>
          <w:szCs w:val="20"/>
        </w:rPr>
      </w:pPr>
      <w:r w:rsidRPr="00B01C5C">
        <w:rPr>
          <w:rFonts w:ascii="Verdana" w:eastAsia="TimesNewRomanPSMT" w:hAnsi="Verdana"/>
          <w:color w:val="000000" w:themeColor="text1"/>
          <w:sz w:val="20"/>
          <w:szCs w:val="20"/>
        </w:rPr>
        <w:t>Wykonawca odpowiada za wszelkie zobowiązania formalno-prawne wobec podmiotów z nim współpracujących przy lub na rzecz realizacji zamówienia.</w:t>
      </w:r>
    </w:p>
    <w:p w14:paraId="3F036774" w14:textId="4821A3A7" w:rsidR="006942C0" w:rsidRPr="002F5EFD" w:rsidRDefault="006942C0" w:rsidP="003C07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NewRomanPSMT" w:hAnsi="Verdana"/>
          <w:color w:val="000000"/>
          <w:sz w:val="18"/>
          <w:szCs w:val="18"/>
        </w:rPr>
      </w:pPr>
      <w:r w:rsidRPr="002F5EFD">
        <w:rPr>
          <w:rFonts w:ascii="Verdana" w:hAnsi="Verdana"/>
          <w:sz w:val="20"/>
          <w:szCs w:val="20"/>
        </w:rPr>
        <w:t xml:space="preserve">Jeżeli w ramach realizacji przedmiotu umowy będą pomiędzy Zamawiającym </w:t>
      </w:r>
      <w:r w:rsidR="007D06D6">
        <w:rPr>
          <w:rFonts w:ascii="Verdana" w:hAnsi="Verdana"/>
          <w:sz w:val="20"/>
          <w:szCs w:val="20"/>
        </w:rPr>
        <w:br/>
      </w:r>
      <w:r w:rsidRPr="002F5EFD">
        <w:rPr>
          <w:rFonts w:ascii="Verdana" w:hAnsi="Verdana"/>
          <w:sz w:val="20"/>
          <w:szCs w:val="20"/>
        </w:rPr>
        <w:t xml:space="preserve">a Wykonawcą przekazywane dane osobowe, to informacje te będą szyfrowane </w:t>
      </w:r>
      <w:r w:rsidR="007D06D6">
        <w:rPr>
          <w:rFonts w:ascii="Verdana" w:hAnsi="Verdana"/>
          <w:sz w:val="20"/>
          <w:szCs w:val="20"/>
        </w:rPr>
        <w:br/>
      </w:r>
      <w:r w:rsidRPr="002F5EFD">
        <w:rPr>
          <w:rFonts w:ascii="Verdana" w:hAnsi="Verdana"/>
          <w:sz w:val="20"/>
          <w:szCs w:val="20"/>
        </w:rPr>
        <w:t>w sposób uzgodniony przez Strony.</w:t>
      </w:r>
    </w:p>
    <w:bookmarkEnd w:id="1"/>
    <w:p w14:paraId="500D93F7" w14:textId="50FBCCC2" w:rsidR="003C076D" w:rsidRDefault="003C076D" w:rsidP="00512CF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46287E7" w14:textId="27AEA30A" w:rsidR="00512CF0" w:rsidRPr="002F5EFD" w:rsidRDefault="00512CF0" w:rsidP="002F5EFD">
      <w:pPr>
        <w:pStyle w:val="Akapitzlist"/>
        <w:numPr>
          <w:ilvl w:val="0"/>
          <w:numId w:val="5"/>
        </w:numPr>
        <w:spacing w:after="0" w:line="276" w:lineRule="auto"/>
        <w:textAlignment w:val="baseline"/>
        <w:rPr>
          <w:rFonts w:ascii="Verdana" w:eastAsia="Times New Roman" w:hAnsi="Verdana" w:cs="Times New Roman"/>
          <w:b/>
          <w:bCs/>
          <w:color w:val="44D62C"/>
          <w:sz w:val="20"/>
          <w:szCs w:val="20"/>
          <w:lang w:eastAsia="pl-PL"/>
        </w:rPr>
      </w:pPr>
      <w:r w:rsidRPr="002F5EFD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/>
        </w:rPr>
        <w:t>Przeniesienie praw autorskich </w:t>
      </w:r>
    </w:p>
    <w:p w14:paraId="430471D3" w14:textId="77777777" w:rsidR="00512CF0" w:rsidRPr="002F5EFD" w:rsidRDefault="00512CF0" w:rsidP="00512CF0">
      <w:pPr>
        <w:spacing w:after="0" w:line="276" w:lineRule="auto"/>
        <w:textAlignment w:val="baseline"/>
        <w:rPr>
          <w:rFonts w:ascii="Verdana" w:eastAsia="Times New Roman" w:hAnsi="Verdana" w:cs="Times New Roman"/>
          <w:b/>
          <w:bCs/>
          <w:color w:val="44D62C"/>
          <w:sz w:val="20"/>
          <w:szCs w:val="20"/>
          <w:lang w:eastAsia="pl-PL"/>
        </w:rPr>
      </w:pPr>
    </w:p>
    <w:p w14:paraId="1C8F7B61" w14:textId="4D90066C" w:rsidR="00512CF0" w:rsidRPr="002F5EFD" w:rsidRDefault="00512CF0" w:rsidP="007D06D6">
      <w:pPr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5EF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oczekuje przeniesienia autorskich praw majątkowych do wytworzonych </w:t>
      </w:r>
      <w:r w:rsidR="007D06D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401DF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Umowy </w:t>
      </w:r>
      <w:r w:rsidR="007E2339">
        <w:rPr>
          <w:rFonts w:ascii="Verdana" w:eastAsia="Times New Roman" w:hAnsi="Verdana" w:cs="Times New Roman"/>
          <w:sz w:val="20"/>
          <w:szCs w:val="20"/>
          <w:lang w:eastAsia="pl-PL"/>
        </w:rPr>
        <w:t>utworów w rozumieniu przepisów o prawach autorskich i prawach pokrewnych, w szczególności</w:t>
      </w:r>
      <w:r w:rsidRPr="002F5EF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prac projekt</w:t>
      </w:r>
      <w:r w:rsidRPr="002F5EFD">
        <w:rPr>
          <w:rFonts w:ascii="Verdana" w:eastAsia="Times New Roman" w:hAnsi="Verdana" w:cs="Calibri"/>
          <w:sz w:val="20"/>
          <w:szCs w:val="20"/>
          <w:lang w:eastAsia="pl-PL"/>
        </w:rPr>
        <w:t>ów</w:t>
      </w:r>
      <w:r w:rsidRPr="002F5EFD">
        <w:rPr>
          <w:rFonts w:ascii="Verdana" w:eastAsia="Times New Roman" w:hAnsi="Verdana" w:cs="Times New Roman"/>
          <w:sz w:val="20"/>
          <w:szCs w:val="20"/>
          <w:lang w:eastAsia="pl-PL"/>
        </w:rPr>
        <w:t> graficznych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(KV’s oraz przeformatowania)</w:t>
      </w:r>
    </w:p>
    <w:p w14:paraId="66EB0385" w14:textId="77777777" w:rsidR="00512CF0" w:rsidRPr="00512CF0" w:rsidRDefault="00512CF0" w:rsidP="007D06D6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sectPr w:rsidR="00512CF0" w:rsidRPr="005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imesNewRomanPSMT">
    <w:altName w:val="Microsoft JhengHe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9D"/>
    <w:multiLevelType w:val="hybridMultilevel"/>
    <w:tmpl w:val="DE7CCCB2"/>
    <w:lvl w:ilvl="0" w:tplc="08A05E74">
      <w:start w:val="1"/>
      <w:numFmt w:val="lowerLetter"/>
      <w:lvlText w:val="%1."/>
      <w:lvlJc w:val="left"/>
      <w:pPr>
        <w:ind w:left="720" w:hanging="360"/>
      </w:pPr>
      <w:rPr>
        <w:rFonts w:eastAsia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5561"/>
    <w:multiLevelType w:val="multilevel"/>
    <w:tmpl w:val="4EA0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8135806"/>
    <w:multiLevelType w:val="hybridMultilevel"/>
    <w:tmpl w:val="CB10B0FC"/>
    <w:lvl w:ilvl="0" w:tplc="96DAA9BA">
      <w:start w:val="1"/>
      <w:numFmt w:val="decimal"/>
      <w:lvlText w:val="(%1)"/>
      <w:lvlJc w:val="left"/>
      <w:pPr>
        <w:ind w:left="720" w:hanging="360"/>
      </w:pPr>
      <w:rPr>
        <w:rFonts w:eastAsia="TimesNewRomanPSMT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14B0"/>
    <w:multiLevelType w:val="multilevel"/>
    <w:tmpl w:val="E47AA490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-BoldMT" w:hint="default"/>
      </w:rPr>
    </w:lvl>
    <w:lvl w:ilvl="1">
      <w:start w:val="1"/>
      <w:numFmt w:val="decimal"/>
      <w:isLgl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8811F9"/>
    <w:multiLevelType w:val="hybridMultilevel"/>
    <w:tmpl w:val="E562750E"/>
    <w:lvl w:ilvl="0" w:tplc="0DBEA240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NewRomanPSMT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16031"/>
    <w:multiLevelType w:val="hybridMultilevel"/>
    <w:tmpl w:val="ABB82DD6"/>
    <w:lvl w:ilvl="0" w:tplc="BDC24E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430E"/>
    <w:multiLevelType w:val="hybridMultilevel"/>
    <w:tmpl w:val="BF4A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10CC5"/>
    <w:multiLevelType w:val="hybridMultilevel"/>
    <w:tmpl w:val="15604CC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F0419"/>
    <w:multiLevelType w:val="hybridMultilevel"/>
    <w:tmpl w:val="754ECC5C"/>
    <w:lvl w:ilvl="0" w:tplc="15F84EE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3AD"/>
    <w:multiLevelType w:val="hybridMultilevel"/>
    <w:tmpl w:val="15604C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550E68"/>
    <w:multiLevelType w:val="hybridMultilevel"/>
    <w:tmpl w:val="2A2E9FC6"/>
    <w:lvl w:ilvl="0" w:tplc="FBB4E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1201"/>
    <w:multiLevelType w:val="multilevel"/>
    <w:tmpl w:val="B7EE9A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0CDF"/>
    <w:multiLevelType w:val="multilevel"/>
    <w:tmpl w:val="DB92E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5BD368E7"/>
    <w:multiLevelType w:val="multilevel"/>
    <w:tmpl w:val="E47A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6A5450"/>
    <w:multiLevelType w:val="hybridMultilevel"/>
    <w:tmpl w:val="C2A4996E"/>
    <w:lvl w:ilvl="0" w:tplc="89D4ED16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NewRomanPSMT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421CE5"/>
    <w:multiLevelType w:val="hybridMultilevel"/>
    <w:tmpl w:val="8C7E356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10123C7"/>
    <w:multiLevelType w:val="hybridMultilevel"/>
    <w:tmpl w:val="2838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F5EF2"/>
    <w:multiLevelType w:val="multilevel"/>
    <w:tmpl w:val="33D4C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Verdana" w:eastAsia="TimesNewRomanPSMT" w:hAnsi="Verdana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7B011C3"/>
    <w:multiLevelType w:val="multilevel"/>
    <w:tmpl w:val="E47AA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90B16E1"/>
    <w:multiLevelType w:val="hybridMultilevel"/>
    <w:tmpl w:val="C50C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5F32"/>
    <w:multiLevelType w:val="hybridMultilevel"/>
    <w:tmpl w:val="7678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04DAD"/>
    <w:multiLevelType w:val="multilevel"/>
    <w:tmpl w:val="84066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896246"/>
    <w:multiLevelType w:val="hybridMultilevel"/>
    <w:tmpl w:val="E36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9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20"/>
  </w:num>
  <w:num w:numId="11">
    <w:abstractNumId w:val="17"/>
  </w:num>
  <w:num w:numId="12">
    <w:abstractNumId w:val="7"/>
  </w:num>
  <w:num w:numId="13">
    <w:abstractNumId w:val="3"/>
  </w:num>
  <w:num w:numId="14">
    <w:abstractNumId w:val="18"/>
  </w:num>
  <w:num w:numId="15">
    <w:abstractNumId w:val="16"/>
  </w:num>
  <w:num w:numId="16">
    <w:abstractNumId w:val="4"/>
  </w:num>
  <w:num w:numId="17">
    <w:abstractNumId w:val="8"/>
  </w:num>
  <w:num w:numId="18">
    <w:abstractNumId w:val="14"/>
  </w:num>
  <w:num w:numId="19">
    <w:abstractNumId w:val="2"/>
  </w:num>
  <w:num w:numId="20">
    <w:abstractNumId w:val="12"/>
  </w:num>
  <w:num w:numId="21">
    <w:abstractNumId w:val="22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DF"/>
    <w:rsid w:val="00024CF0"/>
    <w:rsid w:val="00041A17"/>
    <w:rsid w:val="00044C30"/>
    <w:rsid w:val="0008401F"/>
    <w:rsid w:val="0009654D"/>
    <w:rsid w:val="000F2F16"/>
    <w:rsid w:val="001049A4"/>
    <w:rsid w:val="00107005"/>
    <w:rsid w:val="00154DE7"/>
    <w:rsid w:val="001A7C25"/>
    <w:rsid w:val="001B3EBC"/>
    <w:rsid w:val="001E6657"/>
    <w:rsid w:val="00215187"/>
    <w:rsid w:val="002517DD"/>
    <w:rsid w:val="00296A29"/>
    <w:rsid w:val="00296C2F"/>
    <w:rsid w:val="00297515"/>
    <w:rsid w:val="002F5EFD"/>
    <w:rsid w:val="002F6B6D"/>
    <w:rsid w:val="0030653C"/>
    <w:rsid w:val="0036464D"/>
    <w:rsid w:val="0037457D"/>
    <w:rsid w:val="0039223B"/>
    <w:rsid w:val="003A5EC0"/>
    <w:rsid w:val="003B1AC7"/>
    <w:rsid w:val="003C076D"/>
    <w:rsid w:val="00401DFD"/>
    <w:rsid w:val="004314BA"/>
    <w:rsid w:val="00451D25"/>
    <w:rsid w:val="00471F9C"/>
    <w:rsid w:val="00481363"/>
    <w:rsid w:val="00482884"/>
    <w:rsid w:val="004B05DF"/>
    <w:rsid w:val="004B3D9C"/>
    <w:rsid w:val="00512CF0"/>
    <w:rsid w:val="00531D78"/>
    <w:rsid w:val="00593E72"/>
    <w:rsid w:val="005A5711"/>
    <w:rsid w:val="005B1085"/>
    <w:rsid w:val="005B6D09"/>
    <w:rsid w:val="00610FE7"/>
    <w:rsid w:val="0064064B"/>
    <w:rsid w:val="006542BD"/>
    <w:rsid w:val="006806D2"/>
    <w:rsid w:val="006942C0"/>
    <w:rsid w:val="00710254"/>
    <w:rsid w:val="0072140C"/>
    <w:rsid w:val="00734335"/>
    <w:rsid w:val="00776C2D"/>
    <w:rsid w:val="007775A6"/>
    <w:rsid w:val="007878F8"/>
    <w:rsid w:val="0079616D"/>
    <w:rsid w:val="007B2D32"/>
    <w:rsid w:val="007B76D9"/>
    <w:rsid w:val="007D06D6"/>
    <w:rsid w:val="007E2339"/>
    <w:rsid w:val="007E69C8"/>
    <w:rsid w:val="008127C2"/>
    <w:rsid w:val="00816356"/>
    <w:rsid w:val="0084742D"/>
    <w:rsid w:val="008E1AB9"/>
    <w:rsid w:val="008F1599"/>
    <w:rsid w:val="0090715D"/>
    <w:rsid w:val="0092498D"/>
    <w:rsid w:val="009B7A49"/>
    <w:rsid w:val="009C13B3"/>
    <w:rsid w:val="009C6138"/>
    <w:rsid w:val="009E6634"/>
    <w:rsid w:val="00A23688"/>
    <w:rsid w:val="00B01C5C"/>
    <w:rsid w:val="00B246DD"/>
    <w:rsid w:val="00B6234D"/>
    <w:rsid w:val="00B633DF"/>
    <w:rsid w:val="00BD5976"/>
    <w:rsid w:val="00C6089A"/>
    <w:rsid w:val="00C718C4"/>
    <w:rsid w:val="00C73C05"/>
    <w:rsid w:val="00C75428"/>
    <w:rsid w:val="00C757FF"/>
    <w:rsid w:val="00C91161"/>
    <w:rsid w:val="00CA7FC8"/>
    <w:rsid w:val="00D44DDF"/>
    <w:rsid w:val="00D972DA"/>
    <w:rsid w:val="00E31675"/>
    <w:rsid w:val="00E4797C"/>
    <w:rsid w:val="00E617D6"/>
    <w:rsid w:val="00E82E0B"/>
    <w:rsid w:val="00E838A2"/>
    <w:rsid w:val="00EA751F"/>
    <w:rsid w:val="00EC4F3D"/>
    <w:rsid w:val="00F550C3"/>
    <w:rsid w:val="00F94398"/>
    <w:rsid w:val="00FA605F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C2CE"/>
  <w15:chartTrackingRefBased/>
  <w15:docId w15:val="{FE8D4687-20DB-4019-9465-27B616DF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63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B63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B633DF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B633DF"/>
    <w:rPr>
      <w:color w:val="00000A"/>
    </w:rPr>
  </w:style>
  <w:style w:type="character" w:styleId="Hipercze">
    <w:name w:val="Hyperlink"/>
    <w:uiPriority w:val="99"/>
    <w:rsid w:val="003C076D"/>
    <w:rPr>
      <w:color w:val="0000FF"/>
      <w:u w:val="single"/>
    </w:rPr>
  </w:style>
  <w:style w:type="paragraph" w:styleId="NormalnyWeb">
    <w:name w:val="Normal (Web)"/>
    <w:basedOn w:val="Normalny"/>
    <w:uiPriority w:val="99"/>
    <w:rsid w:val="003C076D"/>
    <w:pPr>
      <w:tabs>
        <w:tab w:val="num" w:pos="360"/>
      </w:tabs>
      <w:spacing w:before="100" w:beforeAutospacing="1" w:after="100" w:afterAutospacing="1" w:line="240" w:lineRule="auto"/>
      <w:ind w:left="357" w:hanging="357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C076D"/>
  </w:style>
  <w:style w:type="character" w:customStyle="1" w:styleId="eop">
    <w:name w:val="eop"/>
    <w:basedOn w:val="Domylnaczcionkaakapitu"/>
    <w:rsid w:val="003C076D"/>
  </w:style>
  <w:style w:type="paragraph" w:customStyle="1" w:styleId="paragraph">
    <w:name w:val="paragraph"/>
    <w:basedOn w:val="Normalny"/>
    <w:rsid w:val="003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0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kasiewicz.gov.pl/images/Raport-Lukasiewicza-2019-2020-Nauka-dla-Przyszlosci.pdf" TargetMode="External"/><Relationship Id="rId5" Type="http://schemas.openxmlformats.org/officeDocument/2006/relationships/hyperlink" Target="https://lukasiewicz.gov.pl/biz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Dziekański | Centrum Łukasiewicz</dc:creator>
  <cp:keywords/>
  <dc:description/>
  <cp:lastModifiedBy>Paulina Saks | Centrum Łukasiewicz</cp:lastModifiedBy>
  <cp:revision>12</cp:revision>
  <dcterms:created xsi:type="dcterms:W3CDTF">2022-01-17T15:00:00Z</dcterms:created>
  <dcterms:modified xsi:type="dcterms:W3CDTF">2022-01-27T15:38:00Z</dcterms:modified>
</cp:coreProperties>
</file>