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3E43" w14:textId="77777777" w:rsidR="006B21CE" w:rsidRDefault="006B21CE" w:rsidP="00395105">
      <w:pPr>
        <w:widowControl w:val="0"/>
        <w:suppressAutoHyphens/>
        <w:spacing w:after="120" w:line="240" w:lineRule="auto"/>
        <w:jc w:val="center"/>
        <w:rPr>
          <w:rFonts w:ascii="Arial" w:eastAsia="Arial Unicode MS" w:hAnsi="Arial" w:cs="Arial"/>
          <w:b/>
          <w:kern w:val="1"/>
          <w:sz w:val="24"/>
          <w:szCs w:val="24"/>
        </w:rPr>
      </w:pPr>
    </w:p>
    <w:p w14:paraId="5569675D" w14:textId="77777777"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29B61673" w14:textId="1E538623" w:rsidR="0077078B" w:rsidRDefault="0077078B" w:rsidP="00395105">
      <w:pPr>
        <w:widowControl w:val="0"/>
        <w:suppressAutoHyphens/>
        <w:spacing w:after="120" w:line="240" w:lineRule="auto"/>
        <w:jc w:val="center"/>
        <w:rPr>
          <w:rFonts w:ascii="Arial" w:eastAsia="Arial Unicode MS" w:hAnsi="Arial" w:cs="Arial"/>
          <w:b/>
          <w:kern w:val="1"/>
          <w:sz w:val="24"/>
          <w:szCs w:val="24"/>
        </w:rPr>
      </w:pPr>
    </w:p>
    <w:p w14:paraId="054DB0FA" w14:textId="77777777" w:rsidR="00E068FF" w:rsidRDefault="00E068FF" w:rsidP="00395105">
      <w:pPr>
        <w:widowControl w:val="0"/>
        <w:suppressAutoHyphens/>
        <w:spacing w:after="120" w:line="240" w:lineRule="auto"/>
        <w:jc w:val="center"/>
        <w:rPr>
          <w:rFonts w:ascii="Arial" w:eastAsia="Arial Unicode MS" w:hAnsi="Arial" w:cs="Arial"/>
          <w:b/>
          <w:kern w:val="1"/>
          <w:sz w:val="24"/>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657847DD"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 xml:space="preserve">Znak sprawy: </w:t>
      </w:r>
      <w:r w:rsidR="004E6AAD">
        <w:rPr>
          <w:szCs w:val="24"/>
        </w:rPr>
        <w:t>261-9/2024</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565670FC" w14:textId="7ED6AFB4" w:rsidR="002778C7" w:rsidRPr="002D4A3B" w:rsidRDefault="00354551" w:rsidP="001F6A22">
      <w:pPr>
        <w:spacing w:after="240" w:line="276" w:lineRule="auto"/>
        <w:jc w:val="center"/>
        <w:rPr>
          <w:rFonts w:ascii="Arial" w:hAnsi="Arial" w:cs="Arial"/>
          <w:sz w:val="24"/>
          <w:szCs w:val="24"/>
          <w:u w:val="single"/>
        </w:rPr>
      </w:pPr>
      <w:bookmarkStart w:id="0" w:name="_Hlk181274878"/>
      <w:r>
        <w:rPr>
          <w:rFonts w:cs="Calibri"/>
          <w:b/>
          <w:sz w:val="24"/>
          <w:szCs w:val="24"/>
        </w:rPr>
        <w:t>Sukcesywna dostawa artykułów spożywczych do Publicznego Przedszkola nr 5 im. Jasia i Małgosi w Wałczu, w 2025 r.</w:t>
      </w:r>
    </w:p>
    <w:bookmarkEnd w:id="0"/>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3EE87AAE" w14:textId="6C3A38E6" w:rsidR="00C21D0C" w:rsidRDefault="00EC22FC" w:rsidP="00395105">
      <w:pPr>
        <w:spacing w:after="240" w:line="276" w:lineRule="auto"/>
        <w:ind w:left="170"/>
        <w:jc w:val="center"/>
        <w:rPr>
          <w:rFonts w:ascii="Arial" w:hAnsi="Arial" w:cs="Arial"/>
          <w:sz w:val="24"/>
          <w:szCs w:val="24"/>
        </w:rPr>
      </w:pPr>
      <w:r>
        <w:rPr>
          <w:rFonts w:ascii="Arial" w:hAnsi="Arial" w:cs="Arial"/>
          <w:sz w:val="24"/>
          <w:szCs w:val="24"/>
        </w:rPr>
        <w:t>Publiczne Przedszkole nr 5 im. Jasia i Małgosi w Wałczu</w:t>
      </w:r>
    </w:p>
    <w:p w14:paraId="10A5CAF7" w14:textId="43DE9CA5" w:rsidR="00EC22FC" w:rsidRPr="002D4A3B" w:rsidRDefault="00EC22FC" w:rsidP="00395105">
      <w:pPr>
        <w:spacing w:after="240" w:line="276" w:lineRule="auto"/>
        <w:ind w:left="170"/>
        <w:jc w:val="center"/>
        <w:rPr>
          <w:rFonts w:ascii="Arial" w:hAnsi="Arial" w:cs="Arial"/>
          <w:sz w:val="24"/>
          <w:szCs w:val="24"/>
        </w:rPr>
      </w:pPr>
      <w:r>
        <w:rPr>
          <w:rFonts w:ascii="Arial" w:hAnsi="Arial" w:cs="Arial"/>
          <w:sz w:val="24"/>
          <w:szCs w:val="24"/>
        </w:rPr>
        <w:t>ul. Chopina 19-21, 78-600 Wałcz</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1321A720" w:rsidR="00C21D0C"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F74419">
        <w:rPr>
          <w:rFonts w:ascii="Arial" w:hAnsi="Arial" w:cs="Arial"/>
          <w:sz w:val="24"/>
          <w:szCs w:val="24"/>
        </w:rPr>
        <w:t>31</w:t>
      </w:r>
      <w:r w:rsidR="00354551">
        <w:rPr>
          <w:rFonts w:ascii="Arial" w:hAnsi="Arial" w:cs="Arial"/>
          <w:sz w:val="24"/>
          <w:szCs w:val="24"/>
        </w:rPr>
        <w:t xml:space="preserve"> października</w:t>
      </w:r>
      <w:r w:rsidR="002778C7" w:rsidRPr="002D4A3B">
        <w:rPr>
          <w:rFonts w:ascii="Arial" w:hAnsi="Arial" w:cs="Arial"/>
          <w:sz w:val="24"/>
          <w:szCs w:val="24"/>
        </w:rPr>
        <w:t xml:space="preserve"> </w:t>
      </w:r>
      <w:r w:rsidR="007955AD" w:rsidRPr="002D4A3B">
        <w:rPr>
          <w:rFonts w:ascii="Arial" w:hAnsi="Arial" w:cs="Arial"/>
          <w:sz w:val="24"/>
          <w:szCs w:val="24"/>
        </w:rPr>
        <w:t>202</w:t>
      </w:r>
      <w:r w:rsidR="002778C7" w:rsidRPr="002D4A3B">
        <w:rPr>
          <w:rFonts w:ascii="Arial" w:hAnsi="Arial" w:cs="Arial"/>
          <w:sz w:val="24"/>
          <w:szCs w:val="24"/>
        </w:rPr>
        <w:t>4</w:t>
      </w:r>
      <w:r w:rsidR="007955AD" w:rsidRPr="002D4A3B">
        <w:rPr>
          <w:rFonts w:ascii="Arial" w:hAnsi="Arial" w:cs="Arial"/>
          <w:sz w:val="24"/>
          <w:szCs w:val="24"/>
        </w:rPr>
        <w:t xml:space="preserve"> r.</w:t>
      </w:r>
    </w:p>
    <w:p w14:paraId="0D1523A9" w14:textId="77777777" w:rsidR="00EC22FC" w:rsidRPr="002D4A3B" w:rsidRDefault="00EC22FC" w:rsidP="00D30DC3">
      <w:pPr>
        <w:spacing w:after="240" w:line="276" w:lineRule="auto"/>
        <w:jc w:val="center"/>
        <w:rPr>
          <w:rFonts w:ascii="Arial" w:hAnsi="Arial" w:cs="Arial"/>
          <w:sz w:val="24"/>
          <w:szCs w:val="24"/>
        </w:rPr>
      </w:pPr>
    </w:p>
    <w:p w14:paraId="3E47B70A" w14:textId="77777777" w:rsidR="00395105" w:rsidRPr="002D4A3B" w:rsidRDefault="00395105" w:rsidP="00D30DC3">
      <w:pPr>
        <w:spacing w:after="240" w:line="276" w:lineRule="auto"/>
        <w:jc w:val="center"/>
        <w:rPr>
          <w:rFonts w:ascii="Arial" w:hAnsi="Arial" w:cs="Arial"/>
          <w:sz w:val="24"/>
          <w:szCs w:val="24"/>
        </w:rPr>
      </w:pPr>
    </w:p>
    <w:bookmarkStart w:id="1"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1"/>
        </w:p>
        <w:p w14:paraId="78EE2832" w14:textId="1082BC85"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44AA8FEC" w:rsidR="00A90560" w:rsidRPr="002D4A3B" w:rsidRDefault="00C20D7E">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2AF4D393" w:rsidR="00A90560" w:rsidRPr="002D4A3B" w:rsidRDefault="00C20D7E">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09C4143C" w:rsidR="00A90560" w:rsidRPr="002D4A3B" w:rsidRDefault="00C20D7E">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05BC7BAC" w:rsidR="00A90560" w:rsidRPr="002D4A3B" w:rsidRDefault="00C20D7E">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1B043602" w:rsidR="00A90560" w:rsidRPr="002D4A3B" w:rsidRDefault="00C20D7E">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79B7BA06" w:rsidR="00A90560" w:rsidRPr="002D4A3B" w:rsidRDefault="00C20D7E">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FC04110" w14:textId="7A49A012" w:rsidR="00A90560" w:rsidRPr="002D4A3B" w:rsidRDefault="00C20D7E">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6D8CEDE2" w14:textId="01D04504" w:rsidR="00A90560" w:rsidRPr="002D4A3B" w:rsidRDefault="00C20D7E">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528EE698" w14:textId="1182539F" w:rsidR="00A90560" w:rsidRPr="002D4A3B" w:rsidRDefault="00C20D7E">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4</w:t>
            </w:r>
            <w:r w:rsidR="00A90560" w:rsidRPr="002D4A3B">
              <w:rPr>
                <w:rFonts w:ascii="Arial" w:hAnsi="Arial" w:cs="Arial"/>
                <w:noProof/>
                <w:webHidden/>
                <w:sz w:val="24"/>
                <w:szCs w:val="24"/>
              </w:rPr>
              <w:fldChar w:fldCharType="end"/>
            </w:r>
          </w:hyperlink>
        </w:p>
        <w:p w14:paraId="4F3139D9" w14:textId="4A8E62D6"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6B1C9B11"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41FD22E8" w14:textId="18BEE8D2"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730FC18" w14:textId="03926C0A"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1D43E815" w14:textId="040BB30A"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512B2C6B" w14:textId="6A77FAF1"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0053E6F5" w14:textId="76096852"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2DCFEF91" w14:textId="68BCAD8A"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0E467F9A"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609B49D8" w14:textId="4A864E9A"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406CCD0B" w14:textId="2A245F8C"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14</w:t>
            </w:r>
            <w:r w:rsidR="00A90560" w:rsidRPr="002D4A3B">
              <w:rPr>
                <w:rFonts w:ascii="Arial" w:hAnsi="Arial" w:cs="Arial"/>
                <w:noProof/>
                <w:webHidden/>
                <w:sz w:val="24"/>
                <w:szCs w:val="24"/>
              </w:rPr>
              <w:fldChar w:fldCharType="end"/>
            </w:r>
          </w:hyperlink>
        </w:p>
        <w:p w14:paraId="2902F637" w14:textId="4920534D"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15</w:t>
            </w:r>
            <w:r w:rsidR="00A90560" w:rsidRPr="002D4A3B">
              <w:rPr>
                <w:rFonts w:ascii="Arial" w:hAnsi="Arial" w:cs="Arial"/>
                <w:noProof/>
                <w:webHidden/>
                <w:sz w:val="24"/>
                <w:szCs w:val="24"/>
              </w:rPr>
              <w:fldChar w:fldCharType="end"/>
            </w:r>
          </w:hyperlink>
        </w:p>
        <w:p w14:paraId="71AC5FF0" w14:textId="4584C931"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CE970B8" w14:textId="06E931ED"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29650D6" w14:textId="46BF67F9"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BA7DD4F" w14:textId="24C9004C"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71E2090C" w14:textId="5138C88E" w:rsidR="00A90560" w:rsidRPr="002D4A3B" w:rsidRDefault="00C20D7E">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EC22FC">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2" w:name="_Toc157768197"/>
      <w:r w:rsidRPr="002D4A3B">
        <w:rPr>
          <w:sz w:val="24"/>
          <w:szCs w:val="24"/>
          <w:lang w:eastAsia="ar-SA"/>
        </w:rPr>
        <w:t>Nazwa i adres Zamawiającego, numer telefonu, adres poczty elektronicznej oraz strony internetowej prowadzonego postępowania.</w:t>
      </w:r>
      <w:bookmarkEnd w:id="2"/>
    </w:p>
    <w:p w14:paraId="0379D036" w14:textId="363A4AB2"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w:t>
      </w:r>
      <w:r w:rsidR="00354551">
        <w:rPr>
          <w:szCs w:val="24"/>
        </w:rPr>
        <w:t xml:space="preserve">Publiczne Przedszkole nr 5 im. Jasia i Małgosi w Wałczu, </w:t>
      </w:r>
      <w:r w:rsidR="00B4302F" w:rsidRPr="002D4A3B">
        <w:rPr>
          <w:szCs w:val="24"/>
        </w:rPr>
        <w:t xml:space="preserve"> </w:t>
      </w:r>
      <w:r w:rsidR="00C111F1">
        <w:rPr>
          <w:szCs w:val="24"/>
        </w:rPr>
        <w:t xml:space="preserve">ul. Chopina 19-21, </w:t>
      </w:r>
      <w:r w:rsidR="00B4302F" w:rsidRPr="002D4A3B">
        <w:rPr>
          <w:szCs w:val="24"/>
        </w:rPr>
        <w:t>78-600 Wałcz</w:t>
      </w:r>
      <w:r w:rsidRPr="002D4A3B">
        <w:rPr>
          <w:szCs w:val="24"/>
        </w:rPr>
        <w:t>.</w:t>
      </w:r>
    </w:p>
    <w:p w14:paraId="73356891" w14:textId="1A32C5B5"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xml:space="preserve"> 258 </w:t>
      </w:r>
      <w:r w:rsidR="00C111F1">
        <w:rPr>
          <w:szCs w:val="24"/>
        </w:rPr>
        <w:t>31 99</w:t>
      </w:r>
    </w:p>
    <w:p w14:paraId="645926AC" w14:textId="0924540E" w:rsidR="00673247" w:rsidRPr="00C111F1" w:rsidRDefault="00D142ED" w:rsidP="00621E70">
      <w:pPr>
        <w:pStyle w:val="Tekstpodstawowy"/>
        <w:numPr>
          <w:ilvl w:val="1"/>
          <w:numId w:val="1"/>
        </w:numPr>
        <w:spacing w:before="0" w:line="276" w:lineRule="auto"/>
        <w:ind w:left="360"/>
        <w:jc w:val="both"/>
        <w:rPr>
          <w:color w:val="0000FF"/>
          <w:szCs w:val="24"/>
          <w:u w:val="single" w:color="0000FF"/>
        </w:rPr>
      </w:pPr>
      <w:r w:rsidRPr="00C111F1">
        <w:rPr>
          <w:szCs w:val="24"/>
        </w:rPr>
        <w:t xml:space="preserve">Adres poczty elektronicznej: Adres strony internetowej prowadzonego postępowania: </w:t>
      </w:r>
      <w:r w:rsidR="00673247" w:rsidRPr="00C111F1">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3"/>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8">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199"/>
      <w:r w:rsidRPr="002D4A3B">
        <w:rPr>
          <w:sz w:val="24"/>
          <w:szCs w:val="24"/>
          <w:lang w:eastAsia="ar-SA"/>
        </w:rPr>
        <w:t>Tryb udzielenia zamówienia.</w:t>
      </w:r>
      <w:bookmarkEnd w:id="4"/>
    </w:p>
    <w:p w14:paraId="46D6EDC7" w14:textId="3663ACCB"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275F25" w:rsidRPr="002D4A3B">
        <w:rPr>
          <w:rFonts w:ascii="Arial" w:hAnsi="Arial" w:cs="Arial"/>
          <w:sz w:val="24"/>
          <w:szCs w:val="24"/>
        </w:rPr>
        <w:t>3</w:t>
      </w:r>
      <w:r w:rsidRPr="002D4A3B">
        <w:rPr>
          <w:rFonts w:ascii="Arial" w:hAnsi="Arial" w:cs="Arial"/>
          <w:sz w:val="24"/>
          <w:szCs w:val="24"/>
        </w:rPr>
        <w:t xml:space="preserve"> r., poz. </w:t>
      </w:r>
      <w:r w:rsidR="00275F25" w:rsidRPr="002D4A3B">
        <w:rPr>
          <w:rFonts w:ascii="Arial" w:hAnsi="Arial" w:cs="Arial"/>
          <w:sz w:val="24"/>
          <w:szCs w:val="24"/>
        </w:rPr>
        <w:t>1605</w:t>
      </w:r>
      <w:r w:rsidRPr="002D4A3B">
        <w:rPr>
          <w:rFonts w:ascii="Arial" w:hAnsi="Arial" w:cs="Arial"/>
          <w:sz w:val="24"/>
          <w:szCs w:val="24"/>
        </w:rPr>
        <w:t xml:space="preserve"> ze zm.), zwanej dalej ustawą Pzp.</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5" w:name="_Toc157768200"/>
      <w:r w:rsidRPr="002D4A3B">
        <w:rPr>
          <w:sz w:val="24"/>
          <w:szCs w:val="24"/>
          <w:lang w:eastAsia="ar-SA"/>
        </w:rPr>
        <w:t>Informacja, czy Zamawiający przewiduje wybór najkorzystniejszej oferty z możliwością prowadzenia negocjacji.</w:t>
      </w:r>
      <w:bookmarkEnd w:id="5"/>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6" w:name="_Toc109997370"/>
      <w:bookmarkStart w:id="7" w:name="_Toc157768201"/>
      <w:r w:rsidRPr="002D4A3B">
        <w:rPr>
          <w:sz w:val="24"/>
          <w:szCs w:val="24"/>
          <w:lang w:eastAsia="ar-SA"/>
        </w:rPr>
        <w:t>Opis przedmiotu zamówienia.</w:t>
      </w:r>
      <w:bookmarkEnd w:id="6"/>
      <w:bookmarkEnd w:id="7"/>
    </w:p>
    <w:p w14:paraId="72239F5F" w14:textId="140F9EC7" w:rsidR="001F6A22" w:rsidRDefault="00412F08" w:rsidP="003F2C18">
      <w:pPr>
        <w:spacing w:after="0" w:line="360" w:lineRule="auto"/>
        <w:ind w:left="426" w:firstLine="282"/>
        <w:jc w:val="both"/>
        <w:rPr>
          <w:rFonts w:ascii="Arial" w:hAnsi="Arial" w:cs="Arial"/>
          <w:sz w:val="24"/>
          <w:szCs w:val="24"/>
        </w:rPr>
      </w:pPr>
      <w:r w:rsidRPr="002D4A3B">
        <w:rPr>
          <w:rFonts w:ascii="Arial" w:eastAsia="Times New Roman" w:hAnsi="Arial" w:cs="Arial"/>
          <w:b/>
          <w:bCs/>
          <w:color w:val="000000"/>
          <w:sz w:val="24"/>
          <w:szCs w:val="24"/>
          <w:lang w:eastAsia="pl-PL"/>
        </w:rPr>
        <w:lastRenderedPageBreak/>
        <w:t xml:space="preserve">5.1 </w:t>
      </w:r>
      <w:r w:rsidR="00AF68B4" w:rsidRPr="002D4A3B">
        <w:rPr>
          <w:rFonts w:ascii="Arial" w:hAnsi="Arial" w:cs="Arial"/>
          <w:sz w:val="24"/>
          <w:szCs w:val="24"/>
        </w:rPr>
        <w:t>Przedmiot</w:t>
      </w:r>
      <w:r w:rsidR="001F6A22">
        <w:rPr>
          <w:rFonts w:ascii="Arial" w:hAnsi="Arial" w:cs="Arial"/>
          <w:sz w:val="24"/>
          <w:szCs w:val="24"/>
        </w:rPr>
        <w:t xml:space="preserve"> </w:t>
      </w:r>
      <w:r w:rsidR="00AF68B4" w:rsidRPr="002D4A3B">
        <w:rPr>
          <w:rFonts w:ascii="Arial" w:hAnsi="Arial" w:cs="Arial"/>
          <w:sz w:val="24"/>
          <w:szCs w:val="24"/>
        </w:rPr>
        <w:t xml:space="preserve">zamówienia </w:t>
      </w:r>
      <w:r w:rsidR="003F2C18">
        <w:rPr>
          <w:rFonts w:ascii="Arial" w:hAnsi="Arial" w:cs="Arial"/>
          <w:sz w:val="24"/>
          <w:szCs w:val="24"/>
        </w:rPr>
        <w:t>stanowi</w:t>
      </w:r>
      <w:r w:rsidR="00C111F1">
        <w:rPr>
          <w:rFonts w:ascii="Arial" w:hAnsi="Arial" w:cs="Arial"/>
          <w:sz w:val="24"/>
          <w:szCs w:val="24"/>
        </w:rPr>
        <w:t xml:space="preserve"> 5 części, z których każda obejmuje swym zakresem odrębny asortyment żywieniowy. Szczegółowy wykaz, dotyczący rodzaju i ilości towaru, stanowiącego przedmiot sukcesywnych dostaw, został opisany w formularzu ofertowym każdej części, a także w dokumencie OPZ (opisie przedmiotu zamówienia). </w:t>
      </w:r>
      <w:r w:rsidR="003F2C18">
        <w:rPr>
          <w:rFonts w:ascii="Arial" w:hAnsi="Arial" w:cs="Arial"/>
          <w:sz w:val="24"/>
          <w:szCs w:val="24"/>
        </w:rPr>
        <w:t>Postępowanie zostało podzielone na następujące części:</w:t>
      </w:r>
    </w:p>
    <w:p w14:paraId="38A22CC0" w14:textId="5507BC2E" w:rsidR="00C111F1" w:rsidRDefault="00C111F1" w:rsidP="003F2C18">
      <w:pPr>
        <w:pStyle w:val="Akapitzlist"/>
        <w:numPr>
          <w:ilvl w:val="0"/>
          <w:numId w:val="48"/>
        </w:numPr>
        <w:spacing w:after="0" w:line="360" w:lineRule="auto"/>
        <w:rPr>
          <w:rFonts w:ascii="Arial" w:hAnsi="Arial" w:cs="Arial"/>
          <w:sz w:val="24"/>
          <w:szCs w:val="24"/>
        </w:rPr>
      </w:pPr>
      <w:r>
        <w:rPr>
          <w:rFonts w:ascii="Arial" w:hAnsi="Arial" w:cs="Arial"/>
          <w:sz w:val="24"/>
          <w:szCs w:val="24"/>
        </w:rPr>
        <w:t>Cz. 1 – Pieczywo i art. cukiernicze</w:t>
      </w:r>
      <w:bookmarkStart w:id="8" w:name="_Hlk180063393"/>
      <w:r>
        <w:rPr>
          <w:rFonts w:ascii="Arial" w:hAnsi="Arial" w:cs="Arial"/>
          <w:sz w:val="24"/>
          <w:szCs w:val="24"/>
        </w:rPr>
        <w:t>. Asortyment zgodny z wyszczególnieniem zawartym w formularzu ofertowym</w:t>
      </w:r>
      <w:bookmarkEnd w:id="8"/>
      <w:r>
        <w:rPr>
          <w:rFonts w:ascii="Arial" w:hAnsi="Arial" w:cs="Arial"/>
          <w:sz w:val="24"/>
          <w:szCs w:val="24"/>
        </w:rPr>
        <w:t xml:space="preserve">. </w:t>
      </w:r>
    </w:p>
    <w:p w14:paraId="6BA1E59B" w14:textId="78C27A21" w:rsidR="00C111F1" w:rsidRPr="00CD31CB" w:rsidRDefault="00C111F1" w:rsidP="003F2C18">
      <w:pPr>
        <w:pStyle w:val="Akapitzlist"/>
        <w:numPr>
          <w:ilvl w:val="0"/>
          <w:numId w:val="48"/>
        </w:numPr>
        <w:spacing w:after="0" w:line="360" w:lineRule="auto"/>
        <w:rPr>
          <w:rFonts w:ascii="Arial" w:hAnsi="Arial" w:cs="Arial"/>
          <w:sz w:val="24"/>
          <w:szCs w:val="24"/>
        </w:rPr>
      </w:pPr>
      <w:r>
        <w:rPr>
          <w:rFonts w:ascii="Arial" w:hAnsi="Arial" w:cs="Arial"/>
          <w:sz w:val="24"/>
          <w:szCs w:val="24"/>
        </w:rPr>
        <w:t>Cz. 2 – Warzywa, owoce, kiszonki, jaja</w:t>
      </w:r>
      <w:r w:rsidRPr="00CD31CB">
        <w:rPr>
          <w:rFonts w:ascii="Arial" w:hAnsi="Arial" w:cs="Arial"/>
          <w:sz w:val="24"/>
          <w:szCs w:val="24"/>
        </w:rPr>
        <w:t>.</w:t>
      </w:r>
      <w:r w:rsidR="004128B1" w:rsidRPr="00CD31CB">
        <w:rPr>
          <w:rFonts w:ascii="Arial" w:hAnsi="Arial" w:cs="Arial"/>
          <w:sz w:val="24"/>
          <w:szCs w:val="24"/>
        </w:rPr>
        <w:t xml:space="preserve">  Asortyment zgodny z wyszczególnieniem zawartym w formularzu ofertowym</w:t>
      </w:r>
    </w:p>
    <w:p w14:paraId="4D0F7A60" w14:textId="694737B4" w:rsidR="00C111F1" w:rsidRPr="00CD31CB" w:rsidRDefault="00C111F1" w:rsidP="003F2C18">
      <w:pPr>
        <w:pStyle w:val="Akapitzlist"/>
        <w:numPr>
          <w:ilvl w:val="0"/>
          <w:numId w:val="48"/>
        </w:numPr>
        <w:spacing w:after="0" w:line="360" w:lineRule="auto"/>
        <w:rPr>
          <w:rFonts w:ascii="Arial" w:hAnsi="Arial" w:cs="Arial"/>
          <w:sz w:val="24"/>
          <w:szCs w:val="24"/>
        </w:rPr>
      </w:pPr>
      <w:r w:rsidRPr="00CD31CB">
        <w:rPr>
          <w:rFonts w:ascii="Arial" w:hAnsi="Arial" w:cs="Arial"/>
          <w:sz w:val="24"/>
          <w:szCs w:val="24"/>
        </w:rPr>
        <w:t>Cz. 3 – Ryby i produkty rybne.</w:t>
      </w:r>
      <w:r w:rsidR="004128B1" w:rsidRPr="00CD31CB">
        <w:rPr>
          <w:rFonts w:ascii="Arial" w:hAnsi="Arial" w:cs="Arial"/>
          <w:sz w:val="24"/>
          <w:szCs w:val="24"/>
        </w:rPr>
        <w:t xml:space="preserve">  Asortyment zgodny z wyszczególnieniem zawartym w formularzu ofertowym</w:t>
      </w:r>
    </w:p>
    <w:p w14:paraId="624C66CD" w14:textId="78D6F378" w:rsidR="00C111F1" w:rsidRPr="00CD31CB" w:rsidRDefault="00C111F1" w:rsidP="003F2C18">
      <w:pPr>
        <w:pStyle w:val="Akapitzlist"/>
        <w:numPr>
          <w:ilvl w:val="0"/>
          <w:numId w:val="48"/>
        </w:numPr>
        <w:spacing w:after="0" w:line="360" w:lineRule="auto"/>
        <w:rPr>
          <w:rFonts w:ascii="Arial" w:hAnsi="Arial" w:cs="Arial"/>
          <w:sz w:val="24"/>
          <w:szCs w:val="24"/>
        </w:rPr>
      </w:pPr>
      <w:r w:rsidRPr="00CD31CB">
        <w:rPr>
          <w:rFonts w:ascii="Arial" w:hAnsi="Arial" w:cs="Arial"/>
          <w:sz w:val="24"/>
          <w:szCs w:val="24"/>
        </w:rPr>
        <w:t>Cz,4 – Artykuły spożywcze.</w:t>
      </w:r>
      <w:r w:rsidR="004128B1" w:rsidRPr="00CD31CB">
        <w:rPr>
          <w:rFonts w:ascii="Arial" w:hAnsi="Arial" w:cs="Arial"/>
          <w:sz w:val="24"/>
          <w:szCs w:val="24"/>
        </w:rPr>
        <w:t xml:space="preserve">  Asortyment zgodny z wyszczególnieniem zawartym w formularzu ofertowym</w:t>
      </w:r>
    </w:p>
    <w:p w14:paraId="69D7777A" w14:textId="6C89ADA1" w:rsidR="00C111F1" w:rsidRPr="00CD31CB" w:rsidRDefault="00C111F1" w:rsidP="003F2C18">
      <w:pPr>
        <w:pStyle w:val="Akapitzlist"/>
        <w:numPr>
          <w:ilvl w:val="0"/>
          <w:numId w:val="48"/>
        </w:numPr>
        <w:spacing w:after="0" w:line="360" w:lineRule="auto"/>
        <w:rPr>
          <w:rFonts w:ascii="Arial" w:hAnsi="Arial" w:cs="Arial"/>
          <w:sz w:val="24"/>
          <w:szCs w:val="24"/>
        </w:rPr>
      </w:pPr>
      <w:r w:rsidRPr="00CD31CB">
        <w:rPr>
          <w:rFonts w:ascii="Arial" w:hAnsi="Arial" w:cs="Arial"/>
          <w:sz w:val="24"/>
          <w:szCs w:val="24"/>
        </w:rPr>
        <w:t xml:space="preserve">Cz. 5 – Nabiał. </w:t>
      </w:r>
      <w:r w:rsidR="004128B1" w:rsidRPr="00CD31CB">
        <w:rPr>
          <w:rFonts w:ascii="Arial" w:hAnsi="Arial" w:cs="Arial"/>
          <w:sz w:val="24"/>
          <w:szCs w:val="24"/>
        </w:rPr>
        <w:t xml:space="preserve"> Asortyment zgodny z wyszczególnieniem zawartym w formularzu ofertowym</w:t>
      </w:r>
    </w:p>
    <w:p w14:paraId="1BEEBFEE" w14:textId="4FEF9119" w:rsidR="00C111F1" w:rsidRPr="00CD31CB" w:rsidRDefault="00C111F1" w:rsidP="003F2C18">
      <w:pPr>
        <w:spacing w:after="0" w:line="360" w:lineRule="auto"/>
        <w:ind w:left="426" w:firstLine="282"/>
        <w:rPr>
          <w:rFonts w:ascii="Arial" w:hAnsi="Arial" w:cs="Arial"/>
          <w:sz w:val="24"/>
          <w:szCs w:val="24"/>
        </w:rPr>
      </w:pPr>
    </w:p>
    <w:p w14:paraId="568D53A8" w14:textId="31F97FFB" w:rsidR="00C21D0C"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75E7445A" w14:textId="232DDAD4"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15811000-6 – pieczywo</w:t>
      </w:r>
    </w:p>
    <w:p w14:paraId="44362882" w14:textId="14A9BF8B"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w:t>
      </w:r>
      <w:r>
        <w:rPr>
          <w:rFonts w:ascii="Arial" w:hAnsi="Arial" w:cs="Arial"/>
          <w:sz w:val="24"/>
          <w:szCs w:val="24"/>
        </w:rPr>
        <w:t xml:space="preserve"> </w:t>
      </w:r>
      <w:r w:rsidRPr="003F2C18">
        <w:rPr>
          <w:rFonts w:ascii="Arial" w:hAnsi="Arial" w:cs="Arial"/>
          <w:sz w:val="24"/>
          <w:szCs w:val="24"/>
        </w:rPr>
        <w:t>03200000-3 – zboża, ziemniaki, warzywa, owoce i orzechy</w:t>
      </w:r>
    </w:p>
    <w:p w14:paraId="4BAF9DC5" w14:textId="246BFDCE"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15220000-6 – ryby mrożone, filety rybne i pozostałe mięso ryb</w:t>
      </w:r>
    </w:p>
    <w:p w14:paraId="5DF48533" w14:textId="7F62015E"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15500000-3- produkty mleczarskie</w:t>
      </w:r>
    </w:p>
    <w:p w14:paraId="5CAEC1A1" w14:textId="51ADD3F8" w:rsidR="003F2C18" w:rsidRPr="003F2C18" w:rsidRDefault="003F2C18" w:rsidP="003F2C18">
      <w:pPr>
        <w:tabs>
          <w:tab w:val="left" w:pos="1391"/>
        </w:tabs>
        <w:spacing w:after="0" w:line="276" w:lineRule="auto"/>
        <w:jc w:val="both"/>
        <w:rPr>
          <w:rFonts w:ascii="Arial" w:hAnsi="Arial" w:cs="Arial"/>
          <w:sz w:val="24"/>
          <w:szCs w:val="24"/>
        </w:rPr>
      </w:pPr>
      <w:r w:rsidRPr="003F2C18">
        <w:rPr>
          <w:rFonts w:ascii="Arial" w:hAnsi="Arial" w:cs="Arial"/>
          <w:sz w:val="24"/>
          <w:szCs w:val="24"/>
        </w:rPr>
        <w:t xml:space="preserve">     15000000-8 – żywność, napoje i produkty pokrewne</w:t>
      </w:r>
    </w:p>
    <w:p w14:paraId="4D3AF957" w14:textId="77777777" w:rsidR="001F6A22" w:rsidRPr="003F2C18" w:rsidRDefault="001F6A22" w:rsidP="004D2713">
      <w:pPr>
        <w:tabs>
          <w:tab w:val="left" w:pos="1391"/>
        </w:tabs>
        <w:spacing w:after="0" w:line="276" w:lineRule="auto"/>
        <w:jc w:val="both"/>
        <w:rPr>
          <w:rFonts w:ascii="Arial" w:hAnsi="Arial" w:cs="Arial"/>
          <w:sz w:val="24"/>
          <w:szCs w:val="24"/>
        </w:rPr>
      </w:pPr>
    </w:p>
    <w:p w14:paraId="486F5DE3" w14:textId="35CC2093" w:rsidR="00D67587" w:rsidRPr="002D4A3B" w:rsidRDefault="00D67587" w:rsidP="00D67587">
      <w:pPr>
        <w:pStyle w:val="Nagwek1"/>
        <w:numPr>
          <w:ilvl w:val="0"/>
          <w:numId w:val="1"/>
        </w:numPr>
        <w:rPr>
          <w:sz w:val="24"/>
          <w:szCs w:val="24"/>
        </w:rPr>
      </w:pPr>
      <w:bookmarkStart w:id="9" w:name="_Toc157768202"/>
      <w:bookmarkStart w:id="10" w:name="_Toc109997373"/>
      <w:r w:rsidRPr="002D4A3B">
        <w:rPr>
          <w:sz w:val="24"/>
          <w:szCs w:val="24"/>
        </w:rPr>
        <w:t>Projektowane postanowienia umowy:</w:t>
      </w:r>
      <w:bookmarkEnd w:id="9"/>
    </w:p>
    <w:p w14:paraId="71752294" w14:textId="7AA77FDF" w:rsidR="00D67587" w:rsidRPr="002D4A3B" w:rsidRDefault="00D67587" w:rsidP="00D67587">
      <w:pPr>
        <w:pStyle w:val="Akapitzlist"/>
        <w:spacing w:after="240" w:line="276" w:lineRule="auto"/>
        <w:ind w:left="360"/>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 xml:space="preserve">załącznik nr </w:t>
      </w:r>
      <w:r w:rsidR="003F2C18">
        <w:rPr>
          <w:rFonts w:ascii="Arial" w:hAnsi="Arial" w:cs="Arial"/>
          <w:b/>
          <w:sz w:val="24"/>
          <w:szCs w:val="24"/>
        </w:rPr>
        <w:t>7</w:t>
      </w:r>
      <w:r w:rsidRPr="002D4A3B">
        <w:rPr>
          <w:rFonts w:ascii="Arial" w:hAnsi="Arial" w:cs="Arial"/>
          <w:sz w:val="24"/>
          <w:szCs w:val="24"/>
        </w:rPr>
        <w:t xml:space="preserve"> do SWZ (wzór umowy).</w:t>
      </w:r>
    </w:p>
    <w:p w14:paraId="3622FC33" w14:textId="275D204A" w:rsidR="00D67587" w:rsidRPr="002D4A3B" w:rsidRDefault="00D67587" w:rsidP="00D67587">
      <w:pPr>
        <w:pStyle w:val="Nagwek1"/>
        <w:numPr>
          <w:ilvl w:val="0"/>
          <w:numId w:val="1"/>
        </w:numPr>
        <w:rPr>
          <w:sz w:val="24"/>
          <w:szCs w:val="24"/>
        </w:rPr>
      </w:pPr>
      <w:bookmarkStart w:id="11" w:name="_Toc157768203"/>
      <w:r w:rsidRPr="002D4A3B">
        <w:rPr>
          <w:sz w:val="24"/>
          <w:szCs w:val="24"/>
        </w:rPr>
        <w:t>Termin wykonania zamówienia:</w:t>
      </w:r>
      <w:bookmarkEnd w:id="11"/>
    </w:p>
    <w:p w14:paraId="6F4FE0F2" w14:textId="5E6A924B" w:rsidR="00D67587" w:rsidRPr="002D4A3B" w:rsidRDefault="003F2C18" w:rsidP="003F2C18">
      <w:pPr>
        <w:pStyle w:val="Standard"/>
        <w:spacing w:line="249" w:lineRule="auto"/>
        <w:jc w:val="both"/>
        <w:rPr>
          <w:rFonts w:cs="Arial"/>
          <w:sz w:val="24"/>
          <w:szCs w:val="24"/>
        </w:rPr>
      </w:pPr>
      <w:r>
        <w:rPr>
          <w:rFonts w:cs="Arial"/>
          <w:sz w:val="24"/>
          <w:szCs w:val="24"/>
        </w:rPr>
        <w:t xml:space="preserve">      </w:t>
      </w:r>
      <w:r w:rsidR="00673247" w:rsidRPr="002D4A3B">
        <w:rPr>
          <w:rFonts w:cs="Arial"/>
          <w:sz w:val="24"/>
          <w:szCs w:val="24"/>
        </w:rPr>
        <w:t xml:space="preserve">Termin realizacji zamówienia: </w:t>
      </w:r>
      <w:r w:rsidR="00354551">
        <w:rPr>
          <w:rFonts w:cs="Arial"/>
          <w:sz w:val="24"/>
          <w:szCs w:val="24"/>
        </w:rPr>
        <w:t>1 stycznia 2025 – 31 grudnia 2025</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2" w:name="_Toc157768204"/>
      <w:r w:rsidRPr="002D4A3B">
        <w:rPr>
          <w:sz w:val="24"/>
          <w:szCs w:val="24"/>
          <w:lang w:eastAsia="ar-SA"/>
        </w:rPr>
        <w:t>Wymagania dotyczące wadium.</w:t>
      </w:r>
      <w:bookmarkEnd w:id="10"/>
      <w:bookmarkEnd w:id="12"/>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3"/>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lastRenderedPageBreak/>
        <w:t>Postępowanie o udzielenie zamówienia prowadzi się pisemnie, w języku polskim.</w:t>
      </w:r>
    </w:p>
    <w:p w14:paraId="2C5A2C44" w14:textId="7A58BBD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Komunikacja w postępowaniu o udzielenie zamówienia, w tym składanie ofert, wymiana informacji oraz przekazywanie dokumentów lub oświadczeń między Zamawiającym a </w:t>
      </w:r>
      <w:r w:rsidR="00AD2C48" w:rsidRPr="00AD2C48">
        <w:rPr>
          <w:rFonts w:ascii="Arial" w:hAnsi="Arial" w:cs="Arial"/>
          <w:color w:val="FF0000"/>
          <w:sz w:val="24"/>
          <w:szCs w:val="24"/>
        </w:rPr>
        <w:t>W</w:t>
      </w:r>
      <w:r w:rsidRPr="002D4A3B">
        <w:rPr>
          <w:rFonts w:ascii="Arial" w:hAnsi="Arial" w:cs="Arial"/>
          <w:sz w:val="24"/>
          <w:szCs w:val="24"/>
        </w:rPr>
        <w:t>ykonawcą, odbywa się przy użyciu środków komunikacji elektronicznej, za pośrednictwem platformy zakupowej Open Nexus.</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Korzystanie przez wykonawcę z platformy zakupowej Open Nexus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B39DACB"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w:t>
      </w:r>
      <w:hyperlink r:id="rId9">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.doc .xls .jpg (.jpeg) ze szczególnym wskazaniem na .pdf;</w:t>
      </w:r>
    </w:p>
    <w:p w14:paraId="1484812E" w14:textId="77777777" w:rsidR="00C21D0C" w:rsidRPr="00CD31CB" w:rsidRDefault="00D142ED">
      <w:pPr>
        <w:pStyle w:val="Tekstpodstawowy"/>
        <w:numPr>
          <w:ilvl w:val="2"/>
          <w:numId w:val="1"/>
        </w:numPr>
        <w:spacing w:before="0" w:line="276" w:lineRule="auto"/>
        <w:ind w:left="1843" w:hanging="709"/>
        <w:jc w:val="both"/>
        <w:rPr>
          <w:szCs w:val="24"/>
        </w:rPr>
      </w:pPr>
      <w:r w:rsidRPr="002D4A3B">
        <w:rPr>
          <w:szCs w:val="24"/>
        </w:rPr>
        <w:t xml:space="preserve">w </w:t>
      </w:r>
      <w:r w:rsidRPr="00CD31CB">
        <w:rPr>
          <w:szCs w:val="24"/>
        </w:rPr>
        <w:t>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CD31CB">
        <w:rPr>
          <w:szCs w:val="24"/>
        </w:rPr>
        <w:lastRenderedPageBreak/>
        <w:t xml:space="preserve">wśród formatów powszechnych, a nie występujących w rozporządzeniu występują: .rar .gif .bmp .numbers .pages.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w miarę możliwości, przekonwertowanie plików składających się na ofertę na format .pdf i opatrzenie ich podpisem kwalifikowanym PadES.</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Pliki w innych formatach niż PDF zaleca się opatrzyć zewnętrznym podpisem XAdES.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0">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stały dostęp do sieci Internet o gwarantowanej przepustowości nie mniejszej niż 512 kb/s;</w:t>
      </w:r>
    </w:p>
    <w:p w14:paraId="4320CCE0"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7B36AA">
      <w:pPr>
        <w:pStyle w:val="Akapitzlist"/>
        <w:numPr>
          <w:ilvl w:val="2"/>
          <w:numId w:val="1"/>
        </w:numPr>
        <w:tabs>
          <w:tab w:val="left" w:pos="1816"/>
          <w:tab w:val="left" w:pos="6804"/>
        </w:tabs>
        <w:spacing w:after="0" w:line="276" w:lineRule="auto"/>
        <w:ind w:left="1843" w:hanging="709"/>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lastRenderedPageBreak/>
        <w:t>włączona obsługa JavaScript;</w:t>
      </w:r>
    </w:p>
    <w:p w14:paraId="4BC7317E"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zainstalowany program Adobe Acrobat Reader lub inny obsługujący format plików .pdf;</w:t>
      </w:r>
    </w:p>
    <w:p w14:paraId="33C289F6"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E73161">
      <w:pPr>
        <w:pStyle w:val="Akapitzlist"/>
        <w:numPr>
          <w:ilvl w:val="2"/>
          <w:numId w:val="1"/>
        </w:numPr>
        <w:tabs>
          <w:tab w:val="left" w:pos="1816"/>
          <w:tab w:val="left" w:pos="6804"/>
        </w:tabs>
        <w:spacing w:after="0" w:line="276" w:lineRule="auto"/>
        <w:ind w:left="1843"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(hh:mm:ss)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4" w:name="_Toc157768206"/>
      <w:r w:rsidRPr="002D4A3B">
        <w:rPr>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bookmarkEnd w:id="14"/>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7"/>
      <w:r w:rsidRPr="002D4A3B">
        <w:rPr>
          <w:sz w:val="24"/>
          <w:szCs w:val="24"/>
          <w:lang w:eastAsia="ar-SA"/>
        </w:rPr>
        <w:t>Wskazanie osób uprawnionych do komunikowania się z wykonawcami.</w:t>
      </w:r>
      <w:bookmarkEnd w:id="15"/>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46DB6261" w:rsidR="00C21D0C" w:rsidRPr="002D4A3B" w:rsidRDefault="003F2C18">
      <w:pPr>
        <w:pStyle w:val="Tekstpodstawowy"/>
        <w:numPr>
          <w:ilvl w:val="1"/>
          <w:numId w:val="1"/>
        </w:numPr>
        <w:spacing w:before="0" w:line="276" w:lineRule="auto"/>
        <w:ind w:left="1134" w:hanging="774"/>
        <w:jc w:val="both"/>
        <w:rPr>
          <w:szCs w:val="24"/>
        </w:rPr>
      </w:pPr>
      <w:r>
        <w:rPr>
          <w:szCs w:val="24"/>
        </w:rPr>
        <w:t xml:space="preserve">Anna </w:t>
      </w:r>
      <w:r w:rsidRPr="00CD31CB">
        <w:rPr>
          <w:szCs w:val="24"/>
        </w:rPr>
        <w:t>Adam</w:t>
      </w:r>
      <w:r w:rsidR="00AD2C48" w:rsidRPr="00CD31CB">
        <w:rPr>
          <w:szCs w:val="24"/>
        </w:rPr>
        <w:t>czews</w:t>
      </w:r>
      <w:r w:rsidRPr="00CD31CB">
        <w:rPr>
          <w:szCs w:val="24"/>
        </w:rPr>
        <w:t>ka</w:t>
      </w:r>
      <w:r w:rsidR="00C811E9">
        <w:rPr>
          <w:szCs w:val="24"/>
        </w:rPr>
        <w:t xml:space="preserve"> </w:t>
      </w:r>
      <w:r w:rsidR="0070648F" w:rsidRPr="002D4A3B">
        <w:rPr>
          <w:szCs w:val="24"/>
        </w:rPr>
        <w:t xml:space="preserve"> </w:t>
      </w:r>
      <w:r w:rsidR="00E92610" w:rsidRPr="002D4A3B">
        <w:rPr>
          <w:szCs w:val="24"/>
        </w:rPr>
        <w:t>– w sprawach dotyczących przedmiotu zamówienia,</w:t>
      </w:r>
      <w:r w:rsidR="001F6A22">
        <w:rPr>
          <w:szCs w:val="24"/>
        </w:rPr>
        <w:t xml:space="preserve"> tel. 67</w:t>
      </w:r>
      <w:r>
        <w:rPr>
          <w:szCs w:val="24"/>
        </w:rPr>
        <w:t> 258 31 99</w:t>
      </w:r>
    </w:p>
    <w:p w14:paraId="5BE939EE" w14:textId="22D71442" w:rsidR="001F6A22" w:rsidRPr="002D4A3B" w:rsidRDefault="00E94B84" w:rsidP="001F6A22">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r w:rsidR="001F6A22">
        <w:rPr>
          <w:szCs w:val="24"/>
        </w:rPr>
        <w:t xml:space="preserve"> tel. 67 258 44 71 wew. 69</w:t>
      </w:r>
    </w:p>
    <w:p w14:paraId="7FE59960" w14:textId="1D60364E" w:rsidR="00C21D0C" w:rsidRPr="002D4A3B" w:rsidRDefault="00C21D0C" w:rsidP="001F6A22">
      <w:pPr>
        <w:pStyle w:val="Tekstpodstawowy"/>
        <w:spacing w:before="0" w:line="276" w:lineRule="auto"/>
        <w:ind w:left="1134"/>
        <w:jc w:val="both"/>
        <w:rPr>
          <w:szCs w:val="24"/>
        </w:rPr>
      </w:pP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6" w:name="_Toc157768208"/>
      <w:r w:rsidRPr="002D4A3B">
        <w:rPr>
          <w:sz w:val="24"/>
          <w:szCs w:val="24"/>
          <w:lang w:eastAsia="ar-SA"/>
        </w:rPr>
        <w:t>Opis sposobu przygotowania oferty.</w:t>
      </w:r>
      <w:bookmarkEnd w:id="16"/>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77777777"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 przy sporządzaniu oferty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7336FA20" w:rsidR="00C21D0C" w:rsidRDefault="00D142ED">
      <w:pPr>
        <w:pStyle w:val="Tekstpodstawowy"/>
        <w:numPr>
          <w:ilvl w:val="2"/>
          <w:numId w:val="1"/>
        </w:numPr>
        <w:spacing w:before="0" w:line="276" w:lineRule="auto"/>
        <w:ind w:left="1701" w:hanging="708"/>
        <w:jc w:val="both"/>
        <w:rPr>
          <w:szCs w:val="24"/>
        </w:rPr>
      </w:pPr>
      <w:r w:rsidRPr="002D4A3B">
        <w:rPr>
          <w:szCs w:val="24"/>
        </w:rPr>
        <w:lastRenderedPageBreak/>
        <w:t>formularz oferty</w:t>
      </w:r>
      <w:r w:rsidR="00C34B26">
        <w:rPr>
          <w:szCs w:val="24"/>
        </w:rPr>
        <w:t xml:space="preserve"> </w:t>
      </w:r>
      <w:r w:rsidRPr="002D4A3B">
        <w:rPr>
          <w:szCs w:val="24"/>
        </w:rPr>
        <w:t xml:space="preserve">- przygotowany zgodnie ze wzorem, który stanowi </w:t>
      </w:r>
      <w:r w:rsidR="003F2C18" w:rsidRPr="003F2C18">
        <w:rPr>
          <w:szCs w:val="24"/>
          <w:u w:val="single"/>
        </w:rPr>
        <w:t xml:space="preserve">odpowiednio </w:t>
      </w:r>
      <w:r w:rsidRPr="002D4A3B">
        <w:rPr>
          <w:b/>
          <w:szCs w:val="24"/>
        </w:rPr>
        <w:t xml:space="preserve">załącznik nr </w:t>
      </w:r>
      <w:r w:rsidR="00D72509" w:rsidRPr="002D4A3B">
        <w:rPr>
          <w:b/>
          <w:szCs w:val="24"/>
        </w:rPr>
        <w:t>1</w:t>
      </w:r>
      <w:r w:rsidR="003F2C18">
        <w:rPr>
          <w:b/>
          <w:szCs w:val="24"/>
        </w:rPr>
        <w:t xml:space="preserve"> – 5</w:t>
      </w:r>
      <w:r w:rsidR="003F2C18" w:rsidRPr="003F2C18">
        <w:t xml:space="preserve"> </w:t>
      </w:r>
      <w:r w:rsidR="003F2C18" w:rsidRPr="003F2C18">
        <w:rPr>
          <w:b/>
          <w:szCs w:val="24"/>
        </w:rPr>
        <w:t>do SWZ</w:t>
      </w:r>
      <w:r w:rsidR="003F2C18">
        <w:rPr>
          <w:b/>
          <w:szCs w:val="24"/>
        </w:rPr>
        <w:t>, oddzielnie do każdej części</w:t>
      </w:r>
      <w:r w:rsidRPr="002D4A3B">
        <w:rPr>
          <w:szCs w:val="24"/>
        </w:rPr>
        <w:t>;</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1"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6AC3E8FC" w:rsidR="00C21D0C" w:rsidRPr="002D4A3B" w:rsidRDefault="00D142ED" w:rsidP="00676313">
      <w:pPr>
        <w:pStyle w:val="Tekstpodstawowy"/>
        <w:spacing w:before="0" w:line="276" w:lineRule="auto"/>
        <w:ind w:left="993"/>
        <w:jc w:val="both"/>
        <w:rPr>
          <w:szCs w:val="24"/>
        </w:rPr>
      </w:pPr>
      <w:r w:rsidRPr="002D4A3B">
        <w:rPr>
          <w:szCs w:val="24"/>
        </w:rPr>
        <w:t xml:space="preserve">oraz 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09"/>
      <w:r w:rsidRPr="002D4A3B">
        <w:rPr>
          <w:sz w:val="24"/>
          <w:szCs w:val="24"/>
          <w:lang w:eastAsia="ar-SA"/>
        </w:rPr>
        <w:t>Sposób oraz termin składania ofert.</w:t>
      </w:r>
      <w:bookmarkEnd w:id="17"/>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2" w:history="1">
        <w:r w:rsidR="00647CFA" w:rsidRPr="002D4A3B">
          <w:rPr>
            <w:rStyle w:val="Hipercze"/>
            <w:rFonts w:ascii="Arial" w:hAnsi="Arial" w:cs="Arial"/>
            <w:sz w:val="24"/>
            <w:szCs w:val="24"/>
          </w:rPr>
          <w:t>https://platformazakupowa.pl/pn/gminamiejskawalcz</w:t>
        </w:r>
      </w:hyperlink>
    </w:p>
    <w:p w14:paraId="4B398694" w14:textId="236BE704"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AF3BDC">
        <w:rPr>
          <w:rFonts w:ascii="Arial" w:hAnsi="Arial" w:cs="Arial"/>
          <w:b/>
          <w:sz w:val="24"/>
          <w:szCs w:val="24"/>
        </w:rPr>
        <w:t>8</w:t>
      </w:r>
      <w:r w:rsidRPr="002D4A3B">
        <w:rPr>
          <w:rFonts w:ascii="Arial" w:hAnsi="Arial" w:cs="Arial"/>
          <w:b/>
          <w:sz w:val="24"/>
          <w:szCs w:val="24"/>
        </w:rPr>
        <w:t>.</w:t>
      </w:r>
      <w:r w:rsidR="009F24E5">
        <w:rPr>
          <w:rFonts w:ascii="Arial" w:hAnsi="Arial" w:cs="Arial"/>
          <w:b/>
          <w:sz w:val="24"/>
          <w:szCs w:val="24"/>
        </w:rPr>
        <w:t>1</w:t>
      </w:r>
      <w:r w:rsidR="00AF3BDC">
        <w:rPr>
          <w:rFonts w:ascii="Arial" w:hAnsi="Arial" w:cs="Arial"/>
          <w:b/>
          <w:sz w:val="24"/>
          <w:szCs w:val="24"/>
        </w:rPr>
        <w:t>1</w:t>
      </w:r>
      <w:r w:rsidRPr="002D4A3B">
        <w:rPr>
          <w:rFonts w:ascii="Arial" w:hAnsi="Arial" w:cs="Arial"/>
          <w:b/>
          <w:sz w:val="24"/>
          <w:szCs w:val="24"/>
        </w:rPr>
        <w:t>.202</w:t>
      </w:r>
      <w:r w:rsidR="0070648F" w:rsidRPr="002D4A3B">
        <w:rPr>
          <w:rFonts w:ascii="Arial" w:hAnsi="Arial" w:cs="Arial"/>
          <w:b/>
          <w:sz w:val="24"/>
          <w:szCs w:val="24"/>
        </w:rPr>
        <w:t>4</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AF3BDC">
        <w:rPr>
          <w:rFonts w:ascii="Arial" w:hAnsi="Arial" w:cs="Arial"/>
          <w:b/>
          <w:sz w:val="24"/>
          <w:szCs w:val="24"/>
        </w:rPr>
        <w:t>12</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3"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t>
      </w:r>
      <w:r w:rsidRPr="002D4A3B">
        <w:rPr>
          <w:rFonts w:ascii="Arial" w:hAnsi="Arial" w:cs="Arial"/>
          <w:sz w:val="24"/>
          <w:szCs w:val="24"/>
        </w:rPr>
        <w:lastRenderedPageBreak/>
        <w:t>„Wyślij wiadomość do zamawiającego”). Taka oferta zostanie uznana przez Zamawiającego za ofertę handlową i nie będzie brana pod uwagę w przedmiotowym postępowaniu ponieważ nie został spełniony obowiązek narzucony w art. 221 ustawy Pzp.</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8" w:name="_Toc157768210"/>
      <w:r w:rsidRPr="002D4A3B">
        <w:rPr>
          <w:sz w:val="24"/>
          <w:szCs w:val="24"/>
          <w:lang w:eastAsia="ar-SA"/>
        </w:rPr>
        <w:t>Termin otwarcia ofert.</w:t>
      </w:r>
      <w:bookmarkEnd w:id="18"/>
    </w:p>
    <w:p w14:paraId="42E937F4" w14:textId="7C63CAF0"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C20D7E">
        <w:rPr>
          <w:rFonts w:ascii="Arial" w:hAnsi="Arial" w:cs="Arial"/>
          <w:b/>
          <w:bCs/>
          <w:sz w:val="24"/>
          <w:szCs w:val="24"/>
        </w:rPr>
        <w:t>8</w:t>
      </w:r>
      <w:r w:rsidRPr="002D4A3B">
        <w:rPr>
          <w:rFonts w:ascii="Arial" w:hAnsi="Arial" w:cs="Arial"/>
          <w:b/>
          <w:bCs/>
          <w:sz w:val="24"/>
          <w:szCs w:val="24"/>
        </w:rPr>
        <w:t>.</w:t>
      </w:r>
      <w:r w:rsidR="009F24E5">
        <w:rPr>
          <w:rFonts w:ascii="Arial" w:hAnsi="Arial" w:cs="Arial"/>
          <w:b/>
          <w:bCs/>
          <w:sz w:val="24"/>
          <w:szCs w:val="24"/>
        </w:rPr>
        <w:t>1</w:t>
      </w:r>
      <w:r w:rsidR="00C20D7E">
        <w:rPr>
          <w:rFonts w:ascii="Arial" w:hAnsi="Arial" w:cs="Arial"/>
          <w:b/>
          <w:bCs/>
          <w:sz w:val="24"/>
          <w:szCs w:val="24"/>
        </w:rPr>
        <w:t>1</w:t>
      </w:r>
      <w:r w:rsidRPr="002D4A3B">
        <w:rPr>
          <w:rFonts w:ascii="Arial" w:hAnsi="Arial" w:cs="Arial"/>
          <w:b/>
          <w:bCs/>
          <w:sz w:val="24"/>
          <w:szCs w:val="24"/>
        </w:rPr>
        <w:t>.202</w:t>
      </w:r>
      <w:r w:rsidR="0070648F" w:rsidRPr="002D4A3B">
        <w:rPr>
          <w:rFonts w:ascii="Arial" w:hAnsi="Arial" w:cs="Arial"/>
          <w:b/>
          <w:bCs/>
          <w:sz w:val="24"/>
          <w:szCs w:val="24"/>
        </w:rPr>
        <w:t>4</w:t>
      </w:r>
      <w:r w:rsidRPr="002D4A3B">
        <w:rPr>
          <w:rFonts w:ascii="Arial" w:hAnsi="Arial" w:cs="Arial"/>
          <w:b/>
          <w:bCs/>
          <w:sz w:val="24"/>
          <w:szCs w:val="24"/>
        </w:rPr>
        <w:t xml:space="preserve"> r., o godzinie </w:t>
      </w:r>
      <w:r w:rsidR="00C20D7E">
        <w:rPr>
          <w:rFonts w:ascii="Arial" w:hAnsi="Arial" w:cs="Arial"/>
          <w:b/>
          <w:bCs/>
          <w:sz w:val="24"/>
          <w:szCs w:val="24"/>
        </w:rPr>
        <w:t>12</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1"/>
      <w:r w:rsidRPr="002D4A3B">
        <w:rPr>
          <w:sz w:val="24"/>
          <w:szCs w:val="24"/>
          <w:lang w:eastAsia="ar-SA"/>
        </w:rPr>
        <w:t>Termin związania ofertą.</w:t>
      </w:r>
      <w:bookmarkEnd w:id="19"/>
    </w:p>
    <w:p w14:paraId="131A2F59" w14:textId="4A9E6BAD"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wynosi 30 dni od dnia upływu terminu składania ofert. Wykonawca jest związany ofertą do dnia </w:t>
      </w:r>
      <w:r w:rsidR="00C20D7E">
        <w:rPr>
          <w:rFonts w:ascii="Arial" w:hAnsi="Arial" w:cs="Arial"/>
          <w:b/>
          <w:bCs/>
          <w:sz w:val="24"/>
          <w:szCs w:val="24"/>
        </w:rPr>
        <w:t>7</w:t>
      </w:r>
      <w:r w:rsidRPr="002D4A3B">
        <w:rPr>
          <w:rFonts w:ascii="Arial" w:hAnsi="Arial" w:cs="Arial"/>
          <w:b/>
          <w:bCs/>
          <w:sz w:val="24"/>
          <w:szCs w:val="24"/>
        </w:rPr>
        <w:t>.</w:t>
      </w:r>
      <w:r w:rsidR="009F24E5">
        <w:rPr>
          <w:rFonts w:ascii="Arial" w:hAnsi="Arial" w:cs="Arial"/>
          <w:b/>
          <w:bCs/>
          <w:sz w:val="24"/>
          <w:szCs w:val="24"/>
        </w:rPr>
        <w:t>1</w:t>
      </w:r>
      <w:r w:rsidR="00C20D7E">
        <w:rPr>
          <w:rFonts w:ascii="Arial" w:hAnsi="Arial" w:cs="Arial"/>
          <w:b/>
          <w:bCs/>
          <w:sz w:val="24"/>
          <w:szCs w:val="24"/>
        </w:rPr>
        <w:t>2</w:t>
      </w:r>
      <w:r w:rsidRPr="002D4A3B">
        <w:rPr>
          <w:rFonts w:ascii="Arial" w:hAnsi="Arial" w:cs="Arial"/>
          <w:b/>
          <w:bCs/>
          <w:sz w:val="24"/>
          <w:szCs w:val="24"/>
        </w:rPr>
        <w:t>.202</w:t>
      </w:r>
      <w:r w:rsidR="0070648F" w:rsidRPr="002D4A3B">
        <w:rPr>
          <w:rFonts w:ascii="Arial" w:hAnsi="Arial" w:cs="Arial"/>
          <w:b/>
          <w:bCs/>
          <w:sz w:val="24"/>
          <w:szCs w:val="24"/>
        </w:rPr>
        <w:t>4</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20" w:name="_Toc157768212"/>
      <w:r w:rsidRPr="002D4A3B">
        <w:rPr>
          <w:sz w:val="24"/>
          <w:szCs w:val="24"/>
          <w:lang w:eastAsia="ar-SA"/>
        </w:rPr>
        <w:t>Podstawy wykluczenia, o których mowa w art. 108 ust. 1 ustawy Pzp oraz dodatkowe podstawy wykluczenia.</w:t>
      </w:r>
      <w:bookmarkEnd w:id="20"/>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Z postępowania o udzielenie zamówienia wyklucza się wykonawcę w okolicznościach, o których mowa w art. 108 ust. 1 ustawy Pzp.</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lastRenderedPageBreak/>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3"/>
      <w:r w:rsidRPr="002D4A3B">
        <w:rPr>
          <w:sz w:val="24"/>
          <w:szCs w:val="24"/>
          <w:lang w:eastAsia="ar-SA"/>
        </w:rPr>
        <w:t>Informacje o warunkach udziału w postępowaniu.</w:t>
      </w:r>
      <w:bookmarkEnd w:id="21"/>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6D75E582" w14:textId="6A03F2FC" w:rsidR="009F24E5" w:rsidRPr="009F24E5" w:rsidRDefault="00E70A03" w:rsidP="009F24E5">
      <w:pPr>
        <w:pStyle w:val="Akapitzlist"/>
        <w:widowControl w:val="0"/>
        <w:numPr>
          <w:ilvl w:val="0"/>
          <w:numId w:val="49"/>
        </w:numPr>
        <w:suppressAutoHyphens/>
        <w:spacing w:after="0" w:line="312" w:lineRule="auto"/>
        <w:ind w:right="-567"/>
        <w:jc w:val="both"/>
        <w:rPr>
          <w:rFonts w:cstheme="minorHAnsi"/>
          <w:bCs/>
          <w:iCs/>
          <w:sz w:val="24"/>
          <w:szCs w:val="24"/>
        </w:rPr>
      </w:pPr>
      <w:r w:rsidRPr="009F24E5">
        <w:rPr>
          <w:rFonts w:ascii="Arial" w:hAnsi="Arial" w:cs="Arial"/>
          <w:sz w:val="24"/>
          <w:szCs w:val="24"/>
        </w:rPr>
        <w:t>Posiadają wiedzę i doświadczenie niezbędne do wykonania przedmiotu zamówienia</w:t>
      </w:r>
      <w:r w:rsidR="009F24E5">
        <w:rPr>
          <w:rFonts w:ascii="Arial" w:hAnsi="Arial" w:cs="Arial"/>
          <w:sz w:val="24"/>
          <w:szCs w:val="24"/>
        </w:rPr>
        <w:t xml:space="preserve"> – Zamawiający nie stawia warunku.</w:t>
      </w:r>
    </w:p>
    <w:p w14:paraId="4791A64B" w14:textId="76CF91F8" w:rsidR="007C6CEB" w:rsidRPr="009F24E5" w:rsidRDefault="007C6CEB" w:rsidP="009F24E5">
      <w:pPr>
        <w:pStyle w:val="Akapitzlist"/>
        <w:widowControl w:val="0"/>
        <w:numPr>
          <w:ilvl w:val="0"/>
          <w:numId w:val="49"/>
        </w:numPr>
        <w:suppressAutoHyphens/>
        <w:spacing w:after="0" w:line="312" w:lineRule="auto"/>
        <w:ind w:right="-567"/>
        <w:jc w:val="both"/>
        <w:rPr>
          <w:rFonts w:ascii="Arial" w:hAnsi="Arial" w:cs="Arial"/>
          <w:bCs/>
          <w:iCs/>
          <w:sz w:val="24"/>
          <w:szCs w:val="24"/>
        </w:rPr>
      </w:pPr>
      <w:r w:rsidRPr="009F24E5">
        <w:rPr>
          <w:rFonts w:ascii="Arial" w:hAnsi="Arial" w:cs="Arial"/>
          <w:bCs/>
          <w:iCs/>
          <w:sz w:val="24"/>
          <w:szCs w:val="24"/>
        </w:rPr>
        <w:t>Dysponują osobami zdolnymi do wykonania zamówienia, które będą uczestniczyć w wykonywaniu zamówienia</w:t>
      </w:r>
      <w:r w:rsidR="009F24E5">
        <w:rPr>
          <w:rFonts w:ascii="Arial" w:hAnsi="Arial" w:cs="Arial"/>
          <w:bCs/>
          <w:iCs/>
          <w:sz w:val="24"/>
          <w:szCs w:val="24"/>
        </w:rPr>
        <w:t xml:space="preserve"> – Zamawiający nie stawia warunku.</w:t>
      </w:r>
      <w:r w:rsidRPr="009F24E5">
        <w:rPr>
          <w:rFonts w:ascii="Arial" w:hAnsi="Arial" w:cs="Arial"/>
          <w:bCs/>
          <w:iCs/>
          <w:sz w:val="24"/>
          <w:szCs w:val="24"/>
        </w:rPr>
        <w:t xml:space="preserve"> </w:t>
      </w:r>
    </w:p>
    <w:p w14:paraId="11C71C61" w14:textId="2F1842B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2"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Pzp.</w:t>
      </w:r>
      <w:bookmarkEnd w:id="22"/>
    </w:p>
    <w:p w14:paraId="16581EF8" w14:textId="77777777"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Do oferty wykonawca dołącza:</w:t>
      </w:r>
    </w:p>
    <w:p w14:paraId="4DA8CB83" w14:textId="7DB1B8C2"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o którym mowa w art. 125 ust. 1 ustawy Pzp,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8</w:t>
      </w:r>
      <w:r w:rsidRPr="002D4A3B">
        <w:rPr>
          <w:rFonts w:ascii="Arial" w:hAnsi="Arial" w:cs="Arial"/>
          <w:sz w:val="24"/>
          <w:szCs w:val="24"/>
        </w:rPr>
        <w:t xml:space="preserve"> do SWZ);</w:t>
      </w:r>
    </w:p>
    <w:p w14:paraId="35E4CC13" w14:textId="64EA4D7A"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oświadczenie o spełnianiu warunków udziału w postępowaniu, o którym mowa w art. 125 ust. 1 ustawy Pzp, według wzoru udostępnionego przez Zamawiającego (</w:t>
      </w:r>
      <w:r w:rsidRPr="002D4A3B">
        <w:rPr>
          <w:rFonts w:ascii="Arial" w:hAnsi="Arial" w:cs="Arial"/>
          <w:b/>
          <w:sz w:val="24"/>
          <w:szCs w:val="24"/>
        </w:rPr>
        <w:t xml:space="preserve">załącznik nr </w:t>
      </w:r>
      <w:r w:rsidR="009F24E5">
        <w:rPr>
          <w:rFonts w:ascii="Arial" w:hAnsi="Arial" w:cs="Arial"/>
          <w:b/>
          <w:sz w:val="24"/>
          <w:szCs w:val="24"/>
        </w:rPr>
        <w:t>9</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20C6ABDD"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w:t>
      </w:r>
      <w:r w:rsidR="009F24E5">
        <w:rPr>
          <w:rFonts w:ascii="Arial" w:hAnsi="Arial" w:cs="Arial"/>
          <w:b/>
          <w:sz w:val="24"/>
          <w:szCs w:val="24"/>
        </w:rPr>
        <w:t>10</w:t>
      </w:r>
      <w:r w:rsidRPr="002D4A3B">
        <w:rPr>
          <w:rFonts w:ascii="Arial" w:hAnsi="Arial" w:cs="Arial"/>
          <w:sz w:val="24"/>
          <w:szCs w:val="24"/>
        </w:rPr>
        <w:t xml:space="preserve"> do SWZ)</w:t>
      </w:r>
    </w:p>
    <w:p w14:paraId="1A3252F3" w14:textId="6BFAE9CE"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 xml:space="preserve">załącznik nr </w:t>
      </w:r>
      <w:r w:rsidR="009F24E5">
        <w:rPr>
          <w:b/>
          <w:szCs w:val="24"/>
        </w:rPr>
        <w:t>11</w:t>
      </w:r>
      <w:r w:rsidRPr="002D4A3B">
        <w:rPr>
          <w:szCs w:val="24"/>
        </w:rPr>
        <w:t xml:space="preserve"> do SWZ);</w:t>
      </w:r>
    </w:p>
    <w:p w14:paraId="17A4E402" w14:textId="7990DD30"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lastRenderedPageBreak/>
        <w:t>oświadczenie wykonawcy w zakresie przeciwdziałaniu wspierania agresji na Ukrainę oraz służące ochronie bezpieczeństwa narodowego (</w:t>
      </w:r>
      <w:r w:rsidRPr="002D4A3B">
        <w:rPr>
          <w:b/>
          <w:szCs w:val="24"/>
        </w:rPr>
        <w:t xml:space="preserve">załącznik nr </w:t>
      </w:r>
      <w:r w:rsidR="009F24E5">
        <w:rPr>
          <w:b/>
          <w:szCs w:val="24"/>
        </w:rPr>
        <w:t>12</w:t>
      </w:r>
      <w:r w:rsidRPr="002D4A3B">
        <w:rPr>
          <w:szCs w:val="24"/>
        </w:rPr>
        <w:t xml:space="preserve"> do SWZ).</w:t>
      </w:r>
    </w:p>
    <w:p w14:paraId="1A5989E6" w14:textId="651E504F"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CA1AE7">
        <w:rPr>
          <w:b/>
          <w:bCs/>
          <w:szCs w:val="24"/>
        </w:rPr>
        <w:t>13</w:t>
      </w:r>
      <w:r w:rsidR="00E920ED">
        <w:rPr>
          <w:b/>
          <w:bCs/>
          <w:szCs w:val="24"/>
        </w:rPr>
        <w:t xml:space="preserve"> </w:t>
      </w:r>
      <w:r w:rsidRPr="002D4A3B">
        <w:rPr>
          <w:szCs w:val="24"/>
        </w:rPr>
        <w:t>do SWZ oraz wykazać, iż zastrzeżone informacje stanowią tajemnicę przedsiębiorstwa w rozumieniu 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6C8667ED"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wykonawca, który polega na zdolnościach podmiotów udostępniających zasoby, składa wraz z ofertą, zobowiązanie </w:t>
      </w:r>
      <w:r w:rsidRPr="002D4A3B">
        <w:rPr>
          <w:rFonts w:ascii="Arial" w:hAnsi="Arial" w:cs="Arial"/>
          <w:sz w:val="24"/>
          <w:szCs w:val="24"/>
        </w:rPr>
        <w:lastRenderedPageBreak/>
        <w:t>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 xml:space="preserve">załącznik nr </w:t>
      </w:r>
      <w:r w:rsidR="00CA1AE7">
        <w:rPr>
          <w:rFonts w:ascii="Arial" w:hAnsi="Arial" w:cs="Arial"/>
          <w:b/>
          <w:sz w:val="24"/>
          <w:szCs w:val="24"/>
        </w:rPr>
        <w:t>10</w:t>
      </w:r>
      <w:r w:rsidRPr="002D4A3B">
        <w:rPr>
          <w:rFonts w:ascii="Arial" w:hAnsi="Arial" w:cs="Arial"/>
          <w:b/>
          <w:sz w:val="24"/>
          <w:szCs w:val="24"/>
        </w:rPr>
        <w:t>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.6.3, potwierdza, że stosunek łączący wykonawcę z podmiotami udostępniającymi zasoby gwarantuje rzeczywisty 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 xml:space="preserve">amawiający żąda od </w:t>
      </w:r>
      <w:r w:rsidRPr="002D4A3B">
        <w:rPr>
          <w:rFonts w:ascii="Arial" w:hAnsi="Arial" w:cs="Arial"/>
          <w:sz w:val="24"/>
          <w:szCs w:val="24"/>
        </w:rPr>
        <w:lastRenderedPageBreak/>
        <w:t>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podmiotu udostępniającego zasoby na zasadach określonych w art. 118 ustawy Pzp.</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Zamawiający może wezwać wykonawcę, którego oferta została najwyżej oceniona, do złożenia w wyznaczonym terminie, nie krótszym niż 5 dni od dnia wezwania, aktualnego na dzień złożenia oświadczenia wykonawcy, w zakresie art. 108 ust. 1 pkt 5 ustawy Pzp,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1689 z późn.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w:t>
      </w:r>
      <w:r w:rsidRPr="002D4A3B">
        <w:rPr>
          <w:rFonts w:ascii="Arial" w:hAnsi="Arial" w:cs="Arial"/>
          <w:sz w:val="24"/>
          <w:szCs w:val="24"/>
        </w:rPr>
        <w:lastRenderedPageBreak/>
        <w:t>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0A336DA4"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5"/>
      <w:r w:rsidRPr="002D4A3B">
        <w:rPr>
          <w:sz w:val="24"/>
          <w:szCs w:val="24"/>
          <w:lang w:eastAsia="ar-SA"/>
        </w:rPr>
        <w:t>Sposób obliczenia ceny.</w:t>
      </w:r>
      <w:bookmarkEnd w:id="23"/>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4"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4"/>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lastRenderedPageBreak/>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rsidP="007A75DC">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rsidP="007A75DC">
      <w:pPr>
        <w:pStyle w:val="Akapitzlist"/>
        <w:ind w:left="1224"/>
        <w:rPr>
          <w:rFonts w:ascii="Arial" w:hAnsi="Arial" w:cs="Arial"/>
          <w:sz w:val="24"/>
          <w:szCs w:val="24"/>
          <w:lang w:eastAsia="ar-SA"/>
        </w:rPr>
      </w:pPr>
    </w:p>
    <w:p w14:paraId="3815B2A7" w14:textId="7144DDBC" w:rsidR="00461654" w:rsidRPr="007A75DC" w:rsidRDefault="007A75DC" w:rsidP="007A75DC">
      <w:pPr>
        <w:pStyle w:val="Akapitzlist"/>
        <w:numPr>
          <w:ilvl w:val="2"/>
          <w:numId w:val="1"/>
        </w:numPr>
        <w:rPr>
          <w:rFonts w:ascii="Arial" w:hAnsi="Arial" w:cs="Arial"/>
          <w:b/>
          <w:bCs/>
          <w:sz w:val="24"/>
          <w:szCs w:val="24"/>
          <w:lang w:eastAsia="ar-SA"/>
        </w:rPr>
      </w:pPr>
      <w:r w:rsidRPr="007A75DC">
        <w:rPr>
          <w:rFonts w:ascii="Arial" w:hAnsi="Arial" w:cs="Arial"/>
          <w:sz w:val="24"/>
          <w:szCs w:val="24"/>
          <w:lang w:eastAsia="ar-SA"/>
        </w:rPr>
        <w:t xml:space="preserve">Czas wymiany lub uzupełnienia </w:t>
      </w:r>
      <w:r>
        <w:rPr>
          <w:rFonts w:ascii="Arial" w:hAnsi="Arial" w:cs="Arial"/>
          <w:sz w:val="24"/>
          <w:szCs w:val="24"/>
          <w:lang w:eastAsia="ar-SA"/>
        </w:rPr>
        <w:t>dostawy</w:t>
      </w:r>
      <w:r w:rsidR="00FF154B" w:rsidRPr="007A75DC">
        <w:rPr>
          <w:rFonts w:ascii="Arial" w:hAnsi="Arial" w:cs="Arial"/>
          <w:sz w:val="24"/>
          <w:szCs w:val="24"/>
          <w:lang w:eastAsia="ar-SA"/>
        </w:rPr>
        <w:t xml:space="preserve"> </w:t>
      </w:r>
      <w:r w:rsidR="00B8034A" w:rsidRPr="007A75DC">
        <w:rPr>
          <w:rFonts w:ascii="Arial" w:hAnsi="Arial" w:cs="Arial"/>
          <w:sz w:val="24"/>
          <w:szCs w:val="24"/>
          <w:lang w:eastAsia="ar-SA"/>
        </w:rPr>
        <w:t xml:space="preserve"> – </w:t>
      </w:r>
      <w:r>
        <w:rPr>
          <w:rFonts w:ascii="Arial" w:hAnsi="Arial" w:cs="Arial"/>
          <w:sz w:val="24"/>
          <w:szCs w:val="24"/>
          <w:lang w:eastAsia="ar-SA"/>
        </w:rPr>
        <w:t>4</w:t>
      </w:r>
      <w:r w:rsidR="00B8034A" w:rsidRPr="007A75DC">
        <w:rPr>
          <w:rFonts w:ascii="Arial" w:hAnsi="Arial" w:cs="Arial"/>
          <w:sz w:val="24"/>
          <w:szCs w:val="24"/>
          <w:lang w:eastAsia="ar-SA"/>
        </w:rPr>
        <w:t xml:space="preserve">0 </w:t>
      </w:r>
      <w:r w:rsidR="00FF154B" w:rsidRPr="007A75DC">
        <w:rPr>
          <w:rFonts w:ascii="Arial" w:hAnsi="Arial" w:cs="Arial"/>
          <w:sz w:val="24"/>
          <w:szCs w:val="24"/>
          <w:lang w:eastAsia="ar-SA"/>
        </w:rPr>
        <w:t xml:space="preserve">     </w:t>
      </w:r>
      <w:r w:rsidR="00B8034A" w:rsidRPr="007A75DC">
        <w:rPr>
          <w:rFonts w:ascii="Arial" w:hAnsi="Arial" w:cs="Arial"/>
          <w:sz w:val="24"/>
          <w:szCs w:val="24"/>
          <w:lang w:eastAsia="ar-SA"/>
        </w:rPr>
        <w:t xml:space="preserve">% / </w:t>
      </w:r>
      <w:r>
        <w:rPr>
          <w:rFonts w:ascii="Arial" w:hAnsi="Arial" w:cs="Arial"/>
          <w:sz w:val="24"/>
          <w:szCs w:val="24"/>
          <w:lang w:eastAsia="ar-SA"/>
        </w:rPr>
        <w:t>4</w:t>
      </w:r>
      <w:r w:rsidR="00B8034A" w:rsidRPr="007A75DC">
        <w:rPr>
          <w:rFonts w:ascii="Arial" w:hAnsi="Arial" w:cs="Arial"/>
          <w:sz w:val="24"/>
          <w:szCs w:val="24"/>
          <w:lang w:eastAsia="ar-SA"/>
        </w:rPr>
        <w:t>0 p</w:t>
      </w:r>
      <w:r w:rsidR="00F56C9C" w:rsidRPr="007A75DC">
        <w:rPr>
          <w:rFonts w:ascii="Arial" w:hAnsi="Arial" w:cs="Arial"/>
          <w:sz w:val="24"/>
          <w:szCs w:val="24"/>
          <w:lang w:eastAsia="ar-SA"/>
        </w:rPr>
        <w:t xml:space="preserve"> </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0AC454F0"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007C6CEB">
        <w:rPr>
          <w:rFonts w:ascii="Arial" w:hAnsi="Arial" w:cs="Arial"/>
          <w:b/>
          <w:bCs/>
          <w:sz w:val="24"/>
          <w:szCs w:val="24"/>
          <w:lang w:eastAsia="ar-SA"/>
        </w:rPr>
        <w:t xml:space="preserve"> 60p</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min</w:t>
      </w:r>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bad</w:t>
      </w:r>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min</w:t>
      </w:r>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bad</w:t>
      </w:r>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498DBB06" w:rsidR="00B8034A" w:rsidRDefault="007A75DC" w:rsidP="007C6CEB">
      <w:pPr>
        <w:pStyle w:val="Akapitzlist"/>
        <w:numPr>
          <w:ilvl w:val="3"/>
          <w:numId w:val="1"/>
        </w:numPr>
        <w:rPr>
          <w:rFonts w:ascii="Arial" w:hAnsi="Arial" w:cs="Arial"/>
          <w:b/>
          <w:bCs/>
          <w:sz w:val="24"/>
          <w:szCs w:val="24"/>
          <w:lang w:eastAsia="ar-SA"/>
        </w:rPr>
      </w:pPr>
      <w:r>
        <w:rPr>
          <w:rFonts w:ascii="Arial" w:hAnsi="Arial" w:cs="Arial"/>
          <w:b/>
          <w:bCs/>
          <w:sz w:val="24"/>
          <w:szCs w:val="24"/>
          <w:lang w:eastAsia="ar-SA"/>
        </w:rPr>
        <w:t>Czas wymiany lub uzupełnienia dostawy (W)</w:t>
      </w:r>
    </w:p>
    <w:p w14:paraId="4625271A" w14:textId="1B9F505A"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30 min.</w:t>
      </w:r>
      <w:r w:rsidR="007C6CEB" w:rsidRPr="007C6CEB">
        <w:rPr>
          <w:rFonts w:ascii="Arial" w:hAnsi="Arial" w:cs="Arial"/>
          <w:sz w:val="24"/>
          <w:szCs w:val="24"/>
          <w:lang w:eastAsia="ar-SA"/>
        </w:rPr>
        <w:t xml:space="preserve"> – 20 p</w:t>
      </w:r>
    </w:p>
    <w:p w14:paraId="00DB796C" w14:textId="3ECA5663" w:rsidR="007C6CEB" w:rsidRPr="007C6CEB" w:rsidRDefault="007A75DC" w:rsidP="007C6CEB">
      <w:pPr>
        <w:spacing w:line="240" w:lineRule="auto"/>
        <w:ind w:left="2127"/>
        <w:rPr>
          <w:rFonts w:ascii="Arial" w:hAnsi="Arial" w:cs="Arial"/>
          <w:sz w:val="24"/>
          <w:szCs w:val="24"/>
          <w:lang w:eastAsia="ar-SA"/>
        </w:rPr>
      </w:pPr>
      <w:r>
        <w:rPr>
          <w:rFonts w:ascii="Arial" w:hAnsi="Arial" w:cs="Arial"/>
          <w:sz w:val="24"/>
          <w:szCs w:val="24"/>
          <w:lang w:eastAsia="ar-SA"/>
        </w:rPr>
        <w:t>Do 1 h</w:t>
      </w:r>
      <w:r w:rsidR="007C6CEB" w:rsidRPr="007C6CEB">
        <w:rPr>
          <w:rFonts w:ascii="Arial" w:hAnsi="Arial" w:cs="Arial"/>
          <w:sz w:val="24"/>
          <w:szCs w:val="24"/>
          <w:lang w:eastAsia="ar-SA"/>
        </w:rPr>
        <w:t xml:space="preserve"> – 15 p</w:t>
      </w:r>
    </w:p>
    <w:p w14:paraId="29E5CE27" w14:textId="26DAABD3" w:rsidR="007C6CEB" w:rsidRDefault="007A75DC" w:rsidP="007C6CEB">
      <w:pPr>
        <w:spacing w:line="240" w:lineRule="auto"/>
        <w:ind w:left="2127"/>
        <w:rPr>
          <w:rFonts w:ascii="Arial" w:hAnsi="Arial" w:cs="Arial"/>
          <w:b/>
          <w:bCs/>
          <w:sz w:val="24"/>
          <w:szCs w:val="24"/>
          <w:lang w:eastAsia="ar-SA"/>
        </w:rPr>
      </w:pPr>
      <w:r>
        <w:rPr>
          <w:rFonts w:ascii="Arial" w:hAnsi="Arial" w:cs="Arial"/>
          <w:sz w:val="24"/>
          <w:szCs w:val="24"/>
          <w:lang w:eastAsia="ar-SA"/>
        </w:rPr>
        <w:t>Do 2h</w:t>
      </w:r>
      <w:r w:rsidR="007C6CEB" w:rsidRPr="007C6CEB">
        <w:rPr>
          <w:rFonts w:ascii="Arial" w:hAnsi="Arial" w:cs="Arial"/>
          <w:sz w:val="24"/>
          <w:szCs w:val="24"/>
          <w:lang w:eastAsia="ar-SA"/>
        </w:rPr>
        <w:t xml:space="preserve"> – 10p</w:t>
      </w:r>
    </w:p>
    <w:p w14:paraId="575F3D9C" w14:textId="77777777" w:rsidR="007C6CEB" w:rsidRPr="00461654" w:rsidRDefault="007C6CEB" w:rsidP="00461654">
      <w:pPr>
        <w:spacing w:after="0" w:line="360" w:lineRule="auto"/>
        <w:rPr>
          <w:rFonts w:ascii="Arial" w:eastAsia="Times New Roman" w:hAnsi="Arial" w:cs="Arial"/>
          <w:sz w:val="24"/>
          <w:szCs w:val="24"/>
          <w:lang w:eastAsia="pl-PL"/>
        </w:rPr>
      </w:pPr>
      <w:r w:rsidRPr="00461654">
        <w:rPr>
          <w:rFonts w:ascii="Arial" w:eastAsia="Times New Roman" w:hAnsi="Arial" w:cs="Arial"/>
          <w:sz w:val="24"/>
          <w:szCs w:val="24"/>
          <w:lang w:eastAsia="pl-PL"/>
        </w:rPr>
        <w:t>Ocena punktowa przyznana danej ofercie jest sumą punktów przyznanych w ramach poszczególnych kryteriów:</w:t>
      </w:r>
    </w:p>
    <w:p w14:paraId="7BCB73C4" w14:textId="3B4A376E" w:rsidR="007C6CEB" w:rsidRPr="00461654" w:rsidRDefault="00461654" w:rsidP="00461654">
      <w:pPr>
        <w:spacing w:after="0" w:line="36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Oferta najkorzystniejsza = C+</w:t>
      </w:r>
      <w:r w:rsidR="007A75DC">
        <w:rPr>
          <w:rFonts w:ascii="Arial" w:eastAsia="Times New Roman" w:hAnsi="Arial" w:cs="Arial"/>
          <w:sz w:val="24"/>
          <w:szCs w:val="24"/>
          <w:lang w:eastAsia="pl-PL"/>
        </w:rPr>
        <w:t>W</w:t>
      </w:r>
    </w:p>
    <w:p w14:paraId="0636EF68" w14:textId="77777777" w:rsidR="00B8034A" w:rsidRPr="002D4A3B" w:rsidRDefault="00B8034A" w:rsidP="00B8034A">
      <w:pPr>
        <w:spacing w:after="0"/>
        <w:rPr>
          <w:rFonts w:ascii="Arial" w:hAnsi="Arial" w:cs="Arial"/>
          <w:sz w:val="24"/>
          <w:szCs w:val="24"/>
        </w:rPr>
      </w:pPr>
    </w:p>
    <w:p w14:paraId="048B2F71" w14:textId="308277F2"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7A75DC">
        <w:rPr>
          <w:rFonts w:ascii="Arial" w:hAnsi="Arial" w:cs="Arial"/>
          <w:sz w:val="24"/>
          <w:szCs w:val="24"/>
        </w:rPr>
        <w:t>W</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1798BDD2"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 xml:space="preserve">Oferowany </w:t>
      </w:r>
      <w:r w:rsidR="007A75DC">
        <w:rPr>
          <w:rFonts w:ascii="Arial" w:hAnsi="Arial" w:cs="Arial"/>
          <w:sz w:val="24"/>
          <w:szCs w:val="24"/>
        </w:rPr>
        <w:t>czas wymiany lub uzupełnienia dostawy</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 xml:space="preserve">załącznik </w:t>
      </w:r>
      <w:r w:rsidRPr="002D4A3B">
        <w:rPr>
          <w:rFonts w:ascii="Arial" w:hAnsi="Arial" w:cs="Arial"/>
          <w:sz w:val="24"/>
          <w:szCs w:val="24"/>
        </w:rPr>
        <w:t>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5" w:name="_Toc157768217"/>
      <w:r w:rsidRPr="002D4A3B">
        <w:rPr>
          <w:sz w:val="24"/>
          <w:szCs w:val="24"/>
          <w:lang w:eastAsia="ar-SA"/>
        </w:rPr>
        <w:t>Informacje o formalnościach, jakie muszą zostać dopełnione po wyborze oferty w celu zawarcia umowy w sprawie zamówienia publicznego.</w:t>
      </w:r>
      <w:bookmarkEnd w:id="25"/>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4DC5A37C" w:rsidR="00C21D0C" w:rsidRDefault="00D142ED">
      <w:pPr>
        <w:pStyle w:val="Nagwek1"/>
        <w:numPr>
          <w:ilvl w:val="0"/>
          <w:numId w:val="1"/>
        </w:numPr>
        <w:spacing w:after="240" w:line="276" w:lineRule="auto"/>
        <w:jc w:val="both"/>
        <w:rPr>
          <w:sz w:val="24"/>
          <w:szCs w:val="24"/>
          <w:lang w:eastAsia="ar-SA"/>
        </w:rPr>
      </w:pPr>
      <w:bookmarkStart w:id="26" w:name="_Toc157768218"/>
      <w:r w:rsidRPr="002D4A3B">
        <w:rPr>
          <w:sz w:val="24"/>
          <w:szCs w:val="24"/>
          <w:lang w:eastAsia="ar-SA"/>
        </w:rPr>
        <w:t>Informacje dotyczące zabezpieczenia należytego wykonania umowy.</w:t>
      </w:r>
      <w:bookmarkEnd w:id="26"/>
    </w:p>
    <w:p w14:paraId="321DABA8" w14:textId="3A4EFCC4" w:rsidR="007A75DC" w:rsidRDefault="007A75DC" w:rsidP="007A75DC">
      <w:pPr>
        <w:pStyle w:val="Nagwek1"/>
        <w:spacing w:after="240" w:line="276" w:lineRule="auto"/>
        <w:ind w:left="360" w:firstLine="0"/>
        <w:jc w:val="both"/>
        <w:rPr>
          <w:sz w:val="24"/>
          <w:szCs w:val="24"/>
          <w:lang w:eastAsia="ar-SA"/>
        </w:rPr>
      </w:pPr>
      <w:r>
        <w:rPr>
          <w:sz w:val="24"/>
          <w:szCs w:val="24"/>
          <w:lang w:eastAsia="ar-SA"/>
        </w:rPr>
        <w:t>Zamawiający nie wymaga wniesienie ZNWU.</w:t>
      </w:r>
    </w:p>
    <w:p w14:paraId="683413D4" w14:textId="77777777" w:rsidR="00AA3919" w:rsidRPr="002D4A3B" w:rsidRDefault="00AA3919" w:rsidP="00AA3919">
      <w:pPr>
        <w:pStyle w:val="Nagwek1"/>
        <w:spacing w:after="240" w:line="276" w:lineRule="auto"/>
        <w:ind w:left="360" w:firstLine="0"/>
        <w:jc w:val="both"/>
        <w:rPr>
          <w:sz w:val="24"/>
          <w:szCs w:val="24"/>
          <w:lang w:eastAsia="ar-SA"/>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bookmarkStart w:id="27" w:name="_Toc157768219"/>
      <w:r w:rsidRPr="002D4A3B">
        <w:rPr>
          <w:sz w:val="24"/>
          <w:szCs w:val="24"/>
          <w:lang w:eastAsia="ar-SA"/>
        </w:rPr>
        <w:t>Pouczenie o środkach ochrony prawnej przysługujących wykonawcy.</w:t>
      </w:r>
      <w:bookmarkEnd w:id="27"/>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t>Wykonawcy w toku postępowania o udzielenie zamówienia przysługują środki ochrony prawnej, zgodnie z działem IX ustawy Pzp.</w:t>
      </w: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0"/>
      <w:r w:rsidRPr="002D4A3B">
        <w:rPr>
          <w:sz w:val="24"/>
          <w:szCs w:val="24"/>
          <w:lang w:eastAsia="ar-SA"/>
        </w:rPr>
        <w:t>Postanowienia końcowe.</w:t>
      </w:r>
      <w:bookmarkEnd w:id="28"/>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45EB8B2F"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dopuszcza składani</w:t>
      </w:r>
      <w:r w:rsidR="00A84E99">
        <w:rPr>
          <w:rFonts w:ascii="Arial" w:hAnsi="Arial" w:cs="Arial"/>
          <w:sz w:val="24"/>
          <w:szCs w:val="24"/>
        </w:rPr>
        <w:t>e</w:t>
      </w:r>
      <w:r w:rsidRPr="002D4A3B">
        <w:rPr>
          <w:rFonts w:ascii="Arial" w:hAnsi="Arial" w:cs="Arial"/>
          <w:sz w:val="24"/>
          <w:szCs w:val="24"/>
        </w:rPr>
        <w:t xml:space="preserve"> ofert częściowych</w:t>
      </w:r>
      <w:r w:rsidR="0087027B" w:rsidRPr="002D4A3B">
        <w:rPr>
          <w:rFonts w:ascii="Arial" w:hAnsi="Arial" w:cs="Arial"/>
          <w:sz w:val="24"/>
          <w:szCs w:val="24"/>
        </w:rPr>
        <w:t xml:space="preserve"> </w:t>
      </w:r>
      <w:r w:rsidR="00A84E99">
        <w:rPr>
          <w:rFonts w:ascii="Arial" w:hAnsi="Arial" w:cs="Arial"/>
          <w:sz w:val="24"/>
          <w:szCs w:val="24"/>
        </w:rPr>
        <w:t>na wszystkie bądź na poszczególne części zamówienia.</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zamówień, o których mowa w art. 214 ust. 1 pkt 7 i 8 ustawy Pzp.</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9" w:name="_Hlk157770131"/>
      <w:r w:rsidRPr="002D4A3B">
        <w:rPr>
          <w:rFonts w:ascii="Arial" w:hAnsi="Arial" w:cs="Arial"/>
          <w:sz w:val="24"/>
          <w:szCs w:val="24"/>
        </w:rPr>
        <w:t>Zamawiający nie wymaga złożenia oferty po odbyciu wizji lokalnej lub sprawdzeniu dokumentów niezbędnych do realizacji zamówienia, o których mowa w art. 131 ust. 2 ustawy Pzp.</w:t>
      </w:r>
    </w:p>
    <w:bookmarkEnd w:id="29"/>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r w:rsidR="004B67E2">
        <w:rPr>
          <w:rFonts w:ascii="Arial" w:hAnsi="Arial" w:cs="Arial"/>
          <w:sz w:val="24"/>
          <w:szCs w:val="24"/>
        </w:rPr>
        <w:t>P</w:t>
      </w:r>
      <w:r w:rsidR="004B5D20" w:rsidRPr="002D4A3B">
        <w:rPr>
          <w:rFonts w:ascii="Arial" w:hAnsi="Arial" w:cs="Arial"/>
          <w:sz w:val="24"/>
          <w:szCs w:val="24"/>
        </w:rPr>
        <w:t>zp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30" w:name="_Toc157768221"/>
      <w:r w:rsidRPr="002D4A3B">
        <w:rPr>
          <w:sz w:val="24"/>
          <w:szCs w:val="24"/>
          <w:lang w:eastAsia="ar-SA"/>
        </w:rPr>
        <w:t>Obowiązek informacyjny RODO.</w:t>
      </w:r>
      <w:bookmarkEnd w:id="30"/>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w:t>
      </w:r>
      <w:r w:rsidRPr="002D4A3B">
        <w:rPr>
          <w:rFonts w:ascii="Arial" w:hAnsi="Arial" w:cs="Arial"/>
          <w:sz w:val="24"/>
          <w:szCs w:val="24"/>
        </w:rPr>
        <w:lastRenderedPageBreak/>
        <w:t>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we wszystkich sprawach 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odbiorcami danych osobowych będą osoby lub podmioty, którym udostępniona zostanie dokumentacja postępowania w oparciu o art. 18 oraz art. 96 ust. 3 ustawy Pzp;</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obowiązek podania danych osobowych jest wymogiem ustawowym określonym w przepisach ustawy Pzp, związanym z udziałem w postępowaniu o udzielenie zamówienia publicznego, konsekwencje niepodania określonych danych wynikają z ustawy Pzp;</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lastRenderedPageBreak/>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31" w:name="_Toc157768222"/>
      <w:r w:rsidRPr="002D4A3B">
        <w:rPr>
          <w:sz w:val="24"/>
          <w:szCs w:val="24"/>
          <w:lang w:eastAsia="ar-SA"/>
        </w:rPr>
        <w:t>Wykaz załączników.</w:t>
      </w:r>
      <w:bookmarkEnd w:id="31"/>
    </w:p>
    <w:p w14:paraId="3D6FC961" w14:textId="2DD05745"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r w:rsidR="007A75DC">
        <w:rPr>
          <w:b w:val="0"/>
          <w:bCs w:val="0"/>
          <w:sz w:val="24"/>
          <w:szCs w:val="24"/>
          <w:lang w:eastAsia="ar-SA"/>
        </w:rPr>
        <w:t>cz.1</w:t>
      </w:r>
    </w:p>
    <w:p w14:paraId="01B72A70" w14:textId="77A6270E" w:rsidR="007A75DC" w:rsidRDefault="002B3A4B"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2 – </w:t>
      </w:r>
      <w:r w:rsidR="007A75DC" w:rsidRPr="002B3A4B">
        <w:rPr>
          <w:b w:val="0"/>
          <w:bCs w:val="0"/>
          <w:sz w:val="24"/>
          <w:szCs w:val="24"/>
          <w:lang w:eastAsia="ar-SA"/>
        </w:rPr>
        <w:t>formularz oferty</w:t>
      </w:r>
      <w:r w:rsidR="007A75DC">
        <w:rPr>
          <w:b w:val="0"/>
          <w:bCs w:val="0"/>
          <w:sz w:val="24"/>
          <w:szCs w:val="24"/>
          <w:lang w:eastAsia="ar-SA"/>
        </w:rPr>
        <w:t xml:space="preserve"> cz.2</w:t>
      </w:r>
    </w:p>
    <w:p w14:paraId="2B7532D5" w14:textId="632D752E"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3 - </w:t>
      </w:r>
      <w:r w:rsidRPr="002B3A4B">
        <w:rPr>
          <w:b w:val="0"/>
          <w:bCs w:val="0"/>
          <w:sz w:val="24"/>
          <w:szCs w:val="24"/>
          <w:lang w:eastAsia="ar-SA"/>
        </w:rPr>
        <w:t>formularz oferty</w:t>
      </w:r>
      <w:r>
        <w:rPr>
          <w:b w:val="0"/>
          <w:bCs w:val="0"/>
          <w:sz w:val="24"/>
          <w:szCs w:val="24"/>
          <w:lang w:eastAsia="ar-SA"/>
        </w:rPr>
        <w:t xml:space="preserve"> cz.3</w:t>
      </w:r>
    </w:p>
    <w:p w14:paraId="70A2ED43" w14:textId="1D8D3C9B"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4 - </w:t>
      </w:r>
      <w:r w:rsidRPr="002B3A4B">
        <w:rPr>
          <w:b w:val="0"/>
          <w:bCs w:val="0"/>
          <w:sz w:val="24"/>
          <w:szCs w:val="24"/>
          <w:lang w:eastAsia="ar-SA"/>
        </w:rPr>
        <w:t>formularz oferty</w:t>
      </w:r>
      <w:r>
        <w:rPr>
          <w:b w:val="0"/>
          <w:bCs w:val="0"/>
          <w:sz w:val="24"/>
          <w:szCs w:val="24"/>
          <w:lang w:eastAsia="ar-SA"/>
        </w:rPr>
        <w:t xml:space="preserve"> cz.4</w:t>
      </w:r>
    </w:p>
    <w:p w14:paraId="23510BE7" w14:textId="2E939C47"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5 - </w:t>
      </w:r>
      <w:r w:rsidRPr="002B3A4B">
        <w:rPr>
          <w:b w:val="0"/>
          <w:bCs w:val="0"/>
          <w:sz w:val="24"/>
          <w:szCs w:val="24"/>
          <w:lang w:eastAsia="ar-SA"/>
        </w:rPr>
        <w:t>formularz oferty</w:t>
      </w:r>
      <w:r>
        <w:rPr>
          <w:b w:val="0"/>
          <w:bCs w:val="0"/>
          <w:sz w:val="24"/>
          <w:szCs w:val="24"/>
          <w:lang w:eastAsia="ar-SA"/>
        </w:rPr>
        <w:t xml:space="preserve"> cz.5</w:t>
      </w:r>
    </w:p>
    <w:p w14:paraId="6FDF1E17" w14:textId="74CCB60A"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6 – Opis przedmiotu zamówienia</w:t>
      </w:r>
    </w:p>
    <w:p w14:paraId="6C7094B1" w14:textId="7B989FC4"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7 – wzór umowy</w:t>
      </w:r>
    </w:p>
    <w:p w14:paraId="214306FB" w14:textId="3CEB2E68"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8 - </w:t>
      </w:r>
      <w:r w:rsidRPr="007A75DC">
        <w:rPr>
          <w:b w:val="0"/>
          <w:bCs w:val="0"/>
          <w:sz w:val="24"/>
          <w:szCs w:val="24"/>
          <w:lang w:eastAsia="ar-SA"/>
        </w:rPr>
        <w:t>oświadczenie o braku podstaw do wykluczenia z postępowania</w:t>
      </w:r>
    </w:p>
    <w:p w14:paraId="29360F27" w14:textId="199E7FBC"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9 - </w:t>
      </w:r>
      <w:r w:rsidRPr="007A75DC">
        <w:rPr>
          <w:b w:val="0"/>
          <w:bCs w:val="0"/>
          <w:sz w:val="24"/>
          <w:szCs w:val="24"/>
          <w:lang w:eastAsia="ar-SA"/>
        </w:rPr>
        <w:t>oświadczenie o spełnianiu warunków udziału w postępowaniu</w:t>
      </w:r>
      <w:r>
        <w:rPr>
          <w:b w:val="0"/>
          <w:bCs w:val="0"/>
          <w:sz w:val="24"/>
          <w:szCs w:val="24"/>
          <w:lang w:eastAsia="ar-SA"/>
        </w:rPr>
        <w:t xml:space="preserve"> </w:t>
      </w:r>
    </w:p>
    <w:p w14:paraId="7096FC7A" w14:textId="3370ADB5" w:rsidR="007A75DC" w:rsidRDefault="007A75D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10 - </w:t>
      </w:r>
      <w:r w:rsidR="00B35C37" w:rsidRPr="00B35C37">
        <w:rPr>
          <w:b w:val="0"/>
          <w:bCs w:val="0"/>
          <w:sz w:val="24"/>
          <w:szCs w:val="24"/>
          <w:lang w:eastAsia="ar-SA"/>
        </w:rPr>
        <w:t>oświadczenie podmiotu udostępniającego zasoby, potwierdzające brak podstaw wykluczenia tego podmiotu oraz odpowiednio spełnianie warunków udziału w postępowaniu</w:t>
      </w:r>
    </w:p>
    <w:p w14:paraId="04C4D85E" w14:textId="7AF21754"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11 – </w:t>
      </w:r>
      <w:r w:rsidRPr="00B35C37">
        <w:rPr>
          <w:b w:val="0"/>
          <w:bCs w:val="0"/>
          <w:sz w:val="24"/>
          <w:szCs w:val="24"/>
          <w:lang w:eastAsia="ar-SA"/>
        </w:rPr>
        <w:t xml:space="preserve">oświadczenie </w:t>
      </w:r>
      <w:r>
        <w:rPr>
          <w:b w:val="0"/>
          <w:bCs w:val="0"/>
          <w:sz w:val="24"/>
          <w:szCs w:val="24"/>
          <w:lang w:eastAsia="ar-SA"/>
        </w:rPr>
        <w:t xml:space="preserve">dla wykonawców wspólnie ubiegających się o udzielenie zamówienia, </w:t>
      </w:r>
      <w:r w:rsidRPr="00B35C37">
        <w:rPr>
          <w:b w:val="0"/>
          <w:bCs w:val="0"/>
          <w:sz w:val="24"/>
          <w:szCs w:val="24"/>
          <w:lang w:eastAsia="ar-SA"/>
        </w:rPr>
        <w:t>wskazujące które usługi wykonają poszczególni wykonawcy</w:t>
      </w:r>
    </w:p>
    <w:p w14:paraId="1A78AB03" w14:textId="0C5DCAA9"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12 – </w:t>
      </w:r>
      <w:r w:rsidRPr="00B35C37">
        <w:rPr>
          <w:b w:val="0"/>
          <w:bCs w:val="0"/>
          <w:sz w:val="24"/>
          <w:szCs w:val="24"/>
          <w:lang w:eastAsia="ar-SA"/>
        </w:rPr>
        <w:t>oświadczenie wykonawcy w zakresie przeciwdziałaniu wspierania agresji na Ukrainę oraz służące ochronie bezpieczeństwa narodowego</w:t>
      </w:r>
    </w:p>
    <w:p w14:paraId="5E12E4AC" w14:textId="134BE140" w:rsidR="00B35C37" w:rsidRDefault="00B35C37"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Zał. nr 13 – oświadczenie dot. zastrzeżenia tajemnicy przedsiębiorstwa</w:t>
      </w:r>
    </w:p>
    <w:p w14:paraId="610D1E0D" w14:textId="116A0EE9" w:rsidR="00EC22FC" w:rsidRDefault="00EC22FC" w:rsidP="007A75DC">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14 – </w:t>
      </w:r>
      <w:r w:rsidR="00597C61">
        <w:rPr>
          <w:b w:val="0"/>
          <w:bCs w:val="0"/>
          <w:sz w:val="24"/>
          <w:szCs w:val="24"/>
          <w:lang w:eastAsia="ar-SA"/>
        </w:rPr>
        <w:t>zobowiązanie podmiotu udostępniającego zasoby</w:t>
      </w:r>
      <w:r>
        <w:rPr>
          <w:b w:val="0"/>
          <w:bCs w:val="0"/>
          <w:sz w:val="24"/>
          <w:szCs w:val="24"/>
          <w:lang w:eastAsia="ar-SA"/>
        </w:rPr>
        <w:t xml:space="preserve"> </w:t>
      </w:r>
    </w:p>
    <w:p w14:paraId="4243B62D" w14:textId="77426931" w:rsidR="007A75DC" w:rsidRDefault="007A75DC" w:rsidP="007A75DC">
      <w:pPr>
        <w:pStyle w:val="Nagwek1"/>
        <w:spacing w:after="240" w:line="276" w:lineRule="auto"/>
        <w:ind w:left="360" w:firstLine="0"/>
        <w:jc w:val="both"/>
        <w:rPr>
          <w:b w:val="0"/>
          <w:bCs w:val="0"/>
          <w:sz w:val="24"/>
          <w:szCs w:val="24"/>
          <w:lang w:eastAsia="ar-SA"/>
        </w:rPr>
      </w:pPr>
    </w:p>
    <w:sectPr w:rsidR="007A75DC">
      <w:footerReference w:type="default" r:id="rId14"/>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3FC7" w14:textId="77777777" w:rsidR="009525CB" w:rsidRDefault="009525CB">
      <w:pPr>
        <w:spacing w:after="0" w:line="240" w:lineRule="auto"/>
      </w:pPr>
      <w:r>
        <w:separator/>
      </w:r>
    </w:p>
  </w:endnote>
  <w:endnote w:type="continuationSeparator" w:id="0">
    <w:p w14:paraId="54918630" w14:textId="77777777" w:rsidR="009525CB" w:rsidRDefault="0095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5D22" w14:textId="77777777" w:rsidR="009525CB" w:rsidRDefault="009525CB">
      <w:pPr>
        <w:spacing w:after="0" w:line="240" w:lineRule="auto"/>
      </w:pPr>
      <w:r>
        <w:separator/>
      </w:r>
    </w:p>
  </w:footnote>
  <w:footnote w:type="continuationSeparator" w:id="0">
    <w:p w14:paraId="584C4A30" w14:textId="77777777" w:rsidR="009525CB" w:rsidRDefault="0095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3F6A64"/>
    <w:multiLevelType w:val="hybridMultilevel"/>
    <w:tmpl w:val="769828B8"/>
    <w:lvl w:ilvl="0" w:tplc="ED64D7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9C3DBE"/>
    <w:multiLevelType w:val="hybridMultilevel"/>
    <w:tmpl w:val="9880F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70D5F"/>
    <w:multiLevelType w:val="multilevel"/>
    <w:tmpl w:val="68B8E46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B331115"/>
    <w:multiLevelType w:val="hybridMultilevel"/>
    <w:tmpl w:val="020CC40E"/>
    <w:lvl w:ilvl="0" w:tplc="ED64D706">
      <w:start w:val="1"/>
      <w:numFmt w:val="bullet"/>
      <w:lvlText w:val=""/>
      <w:lvlJc w:val="left"/>
      <w:pPr>
        <w:ind w:left="2185" w:hanging="360"/>
      </w:pPr>
      <w:rPr>
        <w:rFonts w:ascii="Symbol" w:hAnsi="Symbol" w:hint="default"/>
      </w:rPr>
    </w:lvl>
    <w:lvl w:ilvl="1" w:tplc="04150003" w:tentative="1">
      <w:start w:val="1"/>
      <w:numFmt w:val="bullet"/>
      <w:lvlText w:val="o"/>
      <w:lvlJc w:val="left"/>
      <w:pPr>
        <w:ind w:left="2905" w:hanging="360"/>
      </w:pPr>
      <w:rPr>
        <w:rFonts w:ascii="Courier New" w:hAnsi="Courier New" w:cs="Courier New" w:hint="default"/>
      </w:rPr>
    </w:lvl>
    <w:lvl w:ilvl="2" w:tplc="04150005" w:tentative="1">
      <w:start w:val="1"/>
      <w:numFmt w:val="bullet"/>
      <w:lvlText w:val=""/>
      <w:lvlJc w:val="left"/>
      <w:pPr>
        <w:ind w:left="3625" w:hanging="360"/>
      </w:pPr>
      <w:rPr>
        <w:rFonts w:ascii="Wingdings" w:hAnsi="Wingdings" w:hint="default"/>
      </w:rPr>
    </w:lvl>
    <w:lvl w:ilvl="3" w:tplc="04150001" w:tentative="1">
      <w:start w:val="1"/>
      <w:numFmt w:val="bullet"/>
      <w:lvlText w:val=""/>
      <w:lvlJc w:val="left"/>
      <w:pPr>
        <w:ind w:left="4345" w:hanging="360"/>
      </w:pPr>
      <w:rPr>
        <w:rFonts w:ascii="Symbol" w:hAnsi="Symbol" w:hint="default"/>
      </w:rPr>
    </w:lvl>
    <w:lvl w:ilvl="4" w:tplc="04150003" w:tentative="1">
      <w:start w:val="1"/>
      <w:numFmt w:val="bullet"/>
      <w:lvlText w:val="o"/>
      <w:lvlJc w:val="left"/>
      <w:pPr>
        <w:ind w:left="5065" w:hanging="360"/>
      </w:pPr>
      <w:rPr>
        <w:rFonts w:ascii="Courier New" w:hAnsi="Courier New" w:cs="Courier New" w:hint="default"/>
      </w:rPr>
    </w:lvl>
    <w:lvl w:ilvl="5" w:tplc="04150005" w:tentative="1">
      <w:start w:val="1"/>
      <w:numFmt w:val="bullet"/>
      <w:lvlText w:val=""/>
      <w:lvlJc w:val="left"/>
      <w:pPr>
        <w:ind w:left="5785" w:hanging="360"/>
      </w:pPr>
      <w:rPr>
        <w:rFonts w:ascii="Wingdings" w:hAnsi="Wingdings" w:hint="default"/>
      </w:rPr>
    </w:lvl>
    <w:lvl w:ilvl="6" w:tplc="04150001" w:tentative="1">
      <w:start w:val="1"/>
      <w:numFmt w:val="bullet"/>
      <w:lvlText w:val=""/>
      <w:lvlJc w:val="left"/>
      <w:pPr>
        <w:ind w:left="6505" w:hanging="360"/>
      </w:pPr>
      <w:rPr>
        <w:rFonts w:ascii="Symbol" w:hAnsi="Symbol" w:hint="default"/>
      </w:rPr>
    </w:lvl>
    <w:lvl w:ilvl="7" w:tplc="04150003" w:tentative="1">
      <w:start w:val="1"/>
      <w:numFmt w:val="bullet"/>
      <w:lvlText w:val="o"/>
      <w:lvlJc w:val="left"/>
      <w:pPr>
        <w:ind w:left="7225" w:hanging="360"/>
      </w:pPr>
      <w:rPr>
        <w:rFonts w:ascii="Courier New" w:hAnsi="Courier New" w:cs="Courier New" w:hint="default"/>
      </w:rPr>
    </w:lvl>
    <w:lvl w:ilvl="8" w:tplc="04150005" w:tentative="1">
      <w:start w:val="1"/>
      <w:numFmt w:val="bullet"/>
      <w:lvlText w:val=""/>
      <w:lvlJc w:val="left"/>
      <w:pPr>
        <w:ind w:left="7945" w:hanging="360"/>
      </w:pPr>
      <w:rPr>
        <w:rFonts w:ascii="Wingdings" w:hAnsi="Wingdings" w:hint="default"/>
      </w:rPr>
    </w:lvl>
  </w:abstractNum>
  <w:abstractNum w:abstractNumId="13" w15:restartNumberingAfterBreak="0">
    <w:nsid w:val="2C795523"/>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A726D"/>
    <w:multiLevelType w:val="hybridMultilevel"/>
    <w:tmpl w:val="253E388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048027A"/>
    <w:multiLevelType w:val="multilevel"/>
    <w:tmpl w:val="FA80BC6E"/>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3958" w:firstLine="72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3"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E5E31C7"/>
    <w:multiLevelType w:val="hybridMultilevel"/>
    <w:tmpl w:val="C7D82EE6"/>
    <w:lvl w:ilvl="0" w:tplc="B0F4F08C">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212E37"/>
    <w:multiLevelType w:val="hybridMultilevel"/>
    <w:tmpl w:val="C114BD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6"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D86435"/>
    <w:multiLevelType w:val="hybridMultilevel"/>
    <w:tmpl w:val="9D06768A"/>
    <w:lvl w:ilvl="0" w:tplc="04150017">
      <w:start w:val="1"/>
      <w:numFmt w:val="lowerLetter"/>
      <w:lvlText w:val="%1)"/>
      <w:lvlJc w:val="left"/>
      <w:pPr>
        <w:ind w:left="770" w:hanging="360"/>
      </w:pPr>
    </w:lvl>
    <w:lvl w:ilvl="1" w:tplc="6FF0E6A0">
      <w:start w:val="1"/>
      <w:numFmt w:val="bullet"/>
      <w:lvlText w:val=""/>
      <w:lvlJc w:val="left"/>
      <w:pPr>
        <w:ind w:left="1490" w:hanging="360"/>
      </w:pPr>
      <w:rPr>
        <w:rFonts w:ascii="Symbol" w:hAnsi="Symbol" w:hint="default"/>
      </w:rPr>
    </w:lvl>
    <w:lvl w:ilvl="2" w:tplc="0415001B">
      <w:start w:val="1"/>
      <w:numFmt w:val="lowerRoman"/>
      <w:lvlText w:val="%3."/>
      <w:lvlJc w:val="right"/>
      <w:pPr>
        <w:ind w:left="2210" w:hanging="180"/>
      </w:pPr>
    </w:lvl>
    <w:lvl w:ilvl="3" w:tplc="0415000F">
      <w:start w:val="1"/>
      <w:numFmt w:val="decimal"/>
      <w:lvlText w:val="%4."/>
      <w:lvlJc w:val="left"/>
      <w:pPr>
        <w:ind w:left="2930" w:hanging="360"/>
      </w:pPr>
    </w:lvl>
    <w:lvl w:ilvl="4" w:tplc="04150019">
      <w:start w:val="1"/>
      <w:numFmt w:val="lowerLetter"/>
      <w:lvlText w:val="%5."/>
      <w:lvlJc w:val="left"/>
      <w:pPr>
        <w:ind w:left="3650" w:hanging="360"/>
      </w:pPr>
    </w:lvl>
    <w:lvl w:ilvl="5" w:tplc="0415001B">
      <w:start w:val="1"/>
      <w:numFmt w:val="lowerRoman"/>
      <w:lvlText w:val="%6."/>
      <w:lvlJc w:val="right"/>
      <w:pPr>
        <w:ind w:left="4370" w:hanging="180"/>
      </w:pPr>
    </w:lvl>
    <w:lvl w:ilvl="6" w:tplc="0415000F">
      <w:start w:val="1"/>
      <w:numFmt w:val="decimal"/>
      <w:lvlText w:val="%7."/>
      <w:lvlJc w:val="left"/>
      <w:pPr>
        <w:ind w:left="5090" w:hanging="360"/>
      </w:pPr>
    </w:lvl>
    <w:lvl w:ilvl="7" w:tplc="04150019">
      <w:start w:val="1"/>
      <w:numFmt w:val="lowerLetter"/>
      <w:lvlText w:val="%8."/>
      <w:lvlJc w:val="left"/>
      <w:pPr>
        <w:ind w:left="5810" w:hanging="360"/>
      </w:pPr>
    </w:lvl>
    <w:lvl w:ilvl="8" w:tplc="0415001B">
      <w:start w:val="1"/>
      <w:numFmt w:val="lowerRoman"/>
      <w:lvlText w:val="%9."/>
      <w:lvlJc w:val="right"/>
      <w:pPr>
        <w:ind w:left="6530" w:hanging="180"/>
      </w:pPr>
    </w:lvl>
  </w:abstractNum>
  <w:abstractNum w:abstractNumId="44"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15"/>
  </w:num>
  <w:num w:numId="2">
    <w:abstractNumId w:val="4"/>
  </w:num>
  <w:num w:numId="3">
    <w:abstractNumId w:val="25"/>
  </w:num>
  <w:num w:numId="4">
    <w:abstractNumId w:val="42"/>
  </w:num>
  <w:num w:numId="5">
    <w:abstractNumId w:val="20"/>
  </w:num>
  <w:num w:numId="6">
    <w:abstractNumId w:val="19"/>
  </w:num>
  <w:num w:numId="7">
    <w:abstractNumId w:val="0"/>
  </w:num>
  <w:num w:numId="8">
    <w:abstractNumId w:val="27"/>
  </w:num>
  <w:num w:numId="9">
    <w:abstractNumId w:val="32"/>
  </w:num>
  <w:num w:numId="10">
    <w:abstractNumId w:val="45"/>
  </w:num>
  <w:num w:numId="11">
    <w:abstractNumId w:val="35"/>
  </w:num>
  <w:num w:numId="12">
    <w:abstractNumId w:val="46"/>
  </w:num>
  <w:num w:numId="13">
    <w:abstractNumId w:val="21"/>
  </w:num>
  <w:num w:numId="14">
    <w:abstractNumId w:val="44"/>
  </w:num>
  <w:num w:numId="15">
    <w:abstractNumId w:val="3"/>
  </w:num>
  <w:num w:numId="16">
    <w:abstractNumId w:val="29"/>
  </w:num>
  <w:num w:numId="17">
    <w:abstractNumId w:val="41"/>
  </w:num>
  <w:num w:numId="18">
    <w:abstractNumId w:val="40"/>
  </w:num>
  <w:num w:numId="19">
    <w:abstractNumId w:val="39"/>
  </w:num>
  <w:num w:numId="20">
    <w:abstractNumId w:val="8"/>
  </w:num>
  <w:num w:numId="21">
    <w:abstractNumId w:val="18"/>
  </w:num>
  <w:num w:numId="22">
    <w:abstractNumId w:val="33"/>
  </w:num>
  <w:num w:numId="23">
    <w:abstractNumId w:val="9"/>
  </w:num>
  <w:num w:numId="24">
    <w:abstractNumId w:val="38"/>
  </w:num>
  <w:num w:numId="25">
    <w:abstractNumId w:val="16"/>
  </w:num>
  <w:num w:numId="26">
    <w:abstractNumId w:val="30"/>
  </w:num>
  <w:num w:numId="27">
    <w:abstractNumId w:val="47"/>
  </w:num>
  <w:num w:numId="28">
    <w:abstractNumId w:val="22"/>
  </w:num>
  <w:num w:numId="29">
    <w:abstractNumId w:val="10"/>
  </w:num>
  <w:num w:numId="30">
    <w:abstractNumId w:val="26"/>
  </w:num>
  <w:num w:numId="31">
    <w:abstractNumId w:val="7"/>
  </w:num>
  <w:num w:numId="32">
    <w:abstractNumId w:val="5"/>
  </w:num>
  <w:num w:numId="33">
    <w:abstractNumId w:val="24"/>
  </w:num>
  <w:num w:numId="34">
    <w:abstractNumId w:val="2"/>
  </w:num>
  <w:num w:numId="35">
    <w:abstractNumId w:val="31"/>
  </w:num>
  <w:num w:numId="36">
    <w:abstractNumId w:val="17"/>
  </w:num>
  <w:num w:numId="37">
    <w:abstractNumId w:val="23"/>
  </w:num>
  <w:num w:numId="38">
    <w:abstractNumId w:val="36"/>
  </w:num>
  <w:num w:numId="39">
    <w:abstractNumId w:val="37"/>
  </w:num>
  <w:num w:numId="40">
    <w:abstractNumId w:val="11"/>
  </w:num>
  <w:num w:numId="41">
    <w:abstractNumId w:val="6"/>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
  </w:num>
  <w:num w:numId="48">
    <w:abstractNumId w:val="14"/>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0C"/>
    <w:rsid w:val="00006856"/>
    <w:rsid w:val="000068A5"/>
    <w:rsid w:val="00022BAB"/>
    <w:rsid w:val="0002742C"/>
    <w:rsid w:val="00032C4D"/>
    <w:rsid w:val="0005332C"/>
    <w:rsid w:val="00055287"/>
    <w:rsid w:val="00074F10"/>
    <w:rsid w:val="000B0C4F"/>
    <w:rsid w:val="000D1E79"/>
    <w:rsid w:val="000D67BE"/>
    <w:rsid w:val="000E21B1"/>
    <w:rsid w:val="0018044F"/>
    <w:rsid w:val="00180D4E"/>
    <w:rsid w:val="001C6E1A"/>
    <w:rsid w:val="001E214F"/>
    <w:rsid w:val="001F6A22"/>
    <w:rsid w:val="001F710D"/>
    <w:rsid w:val="00204B42"/>
    <w:rsid w:val="00223237"/>
    <w:rsid w:val="00275F25"/>
    <w:rsid w:val="002778C7"/>
    <w:rsid w:val="002A197A"/>
    <w:rsid w:val="002B3A4B"/>
    <w:rsid w:val="002D4A3B"/>
    <w:rsid w:val="00300D43"/>
    <w:rsid w:val="00321AD3"/>
    <w:rsid w:val="00340712"/>
    <w:rsid w:val="00347566"/>
    <w:rsid w:val="003479D7"/>
    <w:rsid w:val="00354551"/>
    <w:rsid w:val="00361DE9"/>
    <w:rsid w:val="00391AF6"/>
    <w:rsid w:val="00395105"/>
    <w:rsid w:val="003A4811"/>
    <w:rsid w:val="003D0241"/>
    <w:rsid w:val="003F2C18"/>
    <w:rsid w:val="003F422B"/>
    <w:rsid w:val="004102B2"/>
    <w:rsid w:val="004128B1"/>
    <w:rsid w:val="00412F08"/>
    <w:rsid w:val="00417110"/>
    <w:rsid w:val="00420B4F"/>
    <w:rsid w:val="0042132A"/>
    <w:rsid w:val="00434FCC"/>
    <w:rsid w:val="004356CE"/>
    <w:rsid w:val="00461654"/>
    <w:rsid w:val="0048206A"/>
    <w:rsid w:val="00490955"/>
    <w:rsid w:val="00492C57"/>
    <w:rsid w:val="00495A39"/>
    <w:rsid w:val="004B5D20"/>
    <w:rsid w:val="004B67E2"/>
    <w:rsid w:val="004C27A0"/>
    <w:rsid w:val="004C6D8C"/>
    <w:rsid w:val="004D2713"/>
    <w:rsid w:val="004E6AAD"/>
    <w:rsid w:val="004F10A7"/>
    <w:rsid w:val="004F1DF1"/>
    <w:rsid w:val="00511454"/>
    <w:rsid w:val="00545752"/>
    <w:rsid w:val="00545877"/>
    <w:rsid w:val="00553F09"/>
    <w:rsid w:val="005724EC"/>
    <w:rsid w:val="0059065B"/>
    <w:rsid w:val="005973B6"/>
    <w:rsid w:val="00597C61"/>
    <w:rsid w:val="005A2395"/>
    <w:rsid w:val="005A2CAA"/>
    <w:rsid w:val="005A4467"/>
    <w:rsid w:val="005A7DB0"/>
    <w:rsid w:val="005B3842"/>
    <w:rsid w:val="005C6468"/>
    <w:rsid w:val="005F05EE"/>
    <w:rsid w:val="00627A7C"/>
    <w:rsid w:val="00647CFA"/>
    <w:rsid w:val="00671534"/>
    <w:rsid w:val="0067195D"/>
    <w:rsid w:val="00673247"/>
    <w:rsid w:val="006743D4"/>
    <w:rsid w:val="00675C71"/>
    <w:rsid w:val="00676313"/>
    <w:rsid w:val="006A0B73"/>
    <w:rsid w:val="006B21CE"/>
    <w:rsid w:val="006B4E59"/>
    <w:rsid w:val="006C0A95"/>
    <w:rsid w:val="006E4C50"/>
    <w:rsid w:val="006E75FC"/>
    <w:rsid w:val="007060E0"/>
    <w:rsid w:val="0070648F"/>
    <w:rsid w:val="00720788"/>
    <w:rsid w:val="00732E19"/>
    <w:rsid w:val="00736FA6"/>
    <w:rsid w:val="0075225E"/>
    <w:rsid w:val="0077078B"/>
    <w:rsid w:val="00780AF7"/>
    <w:rsid w:val="007931F4"/>
    <w:rsid w:val="007955AD"/>
    <w:rsid w:val="007A75DC"/>
    <w:rsid w:val="007B36AA"/>
    <w:rsid w:val="007C4991"/>
    <w:rsid w:val="007C6CEB"/>
    <w:rsid w:val="007E21A2"/>
    <w:rsid w:val="007F0B8A"/>
    <w:rsid w:val="007F1A59"/>
    <w:rsid w:val="0080020F"/>
    <w:rsid w:val="00814FCD"/>
    <w:rsid w:val="00847539"/>
    <w:rsid w:val="0085351E"/>
    <w:rsid w:val="00865968"/>
    <w:rsid w:val="0087027B"/>
    <w:rsid w:val="00880D71"/>
    <w:rsid w:val="00881BF2"/>
    <w:rsid w:val="00892213"/>
    <w:rsid w:val="008F1FE9"/>
    <w:rsid w:val="009525CB"/>
    <w:rsid w:val="00961E85"/>
    <w:rsid w:val="0096745E"/>
    <w:rsid w:val="0097239D"/>
    <w:rsid w:val="0097460B"/>
    <w:rsid w:val="009749CD"/>
    <w:rsid w:val="009815F3"/>
    <w:rsid w:val="009A22A5"/>
    <w:rsid w:val="009B5258"/>
    <w:rsid w:val="009C26F4"/>
    <w:rsid w:val="009F24E5"/>
    <w:rsid w:val="00A00CD2"/>
    <w:rsid w:val="00A021EC"/>
    <w:rsid w:val="00A316C6"/>
    <w:rsid w:val="00A329AC"/>
    <w:rsid w:val="00A51644"/>
    <w:rsid w:val="00A84E99"/>
    <w:rsid w:val="00A86A91"/>
    <w:rsid w:val="00A90560"/>
    <w:rsid w:val="00A96FFD"/>
    <w:rsid w:val="00AA3919"/>
    <w:rsid w:val="00AA6ACB"/>
    <w:rsid w:val="00AB0D89"/>
    <w:rsid w:val="00AC1359"/>
    <w:rsid w:val="00AD2C48"/>
    <w:rsid w:val="00AE7E63"/>
    <w:rsid w:val="00AF3BDC"/>
    <w:rsid w:val="00AF68B4"/>
    <w:rsid w:val="00B12AB7"/>
    <w:rsid w:val="00B1351C"/>
    <w:rsid w:val="00B14B41"/>
    <w:rsid w:val="00B223EF"/>
    <w:rsid w:val="00B27536"/>
    <w:rsid w:val="00B32B4E"/>
    <w:rsid w:val="00B35C37"/>
    <w:rsid w:val="00B4302F"/>
    <w:rsid w:val="00B624F5"/>
    <w:rsid w:val="00B675A1"/>
    <w:rsid w:val="00B67FAD"/>
    <w:rsid w:val="00B8034A"/>
    <w:rsid w:val="00B82D06"/>
    <w:rsid w:val="00BF2D6C"/>
    <w:rsid w:val="00C111F1"/>
    <w:rsid w:val="00C133AA"/>
    <w:rsid w:val="00C15628"/>
    <w:rsid w:val="00C20D7E"/>
    <w:rsid w:val="00C21D0C"/>
    <w:rsid w:val="00C26B5D"/>
    <w:rsid w:val="00C33115"/>
    <w:rsid w:val="00C34B26"/>
    <w:rsid w:val="00C460B8"/>
    <w:rsid w:val="00C67A0D"/>
    <w:rsid w:val="00C811E9"/>
    <w:rsid w:val="00C94CC6"/>
    <w:rsid w:val="00CA1AE7"/>
    <w:rsid w:val="00CD31CB"/>
    <w:rsid w:val="00CE2439"/>
    <w:rsid w:val="00CE38D8"/>
    <w:rsid w:val="00CE4509"/>
    <w:rsid w:val="00CE45E4"/>
    <w:rsid w:val="00CE6DD5"/>
    <w:rsid w:val="00D027CB"/>
    <w:rsid w:val="00D142ED"/>
    <w:rsid w:val="00D1675C"/>
    <w:rsid w:val="00D30DC3"/>
    <w:rsid w:val="00D31073"/>
    <w:rsid w:val="00D44054"/>
    <w:rsid w:val="00D66CD5"/>
    <w:rsid w:val="00D67587"/>
    <w:rsid w:val="00D72509"/>
    <w:rsid w:val="00D80434"/>
    <w:rsid w:val="00D92330"/>
    <w:rsid w:val="00DC445C"/>
    <w:rsid w:val="00DE7CE3"/>
    <w:rsid w:val="00E068FF"/>
    <w:rsid w:val="00E21508"/>
    <w:rsid w:val="00E41B33"/>
    <w:rsid w:val="00E47FF0"/>
    <w:rsid w:val="00E70A03"/>
    <w:rsid w:val="00E73161"/>
    <w:rsid w:val="00E731E8"/>
    <w:rsid w:val="00E817BF"/>
    <w:rsid w:val="00E920ED"/>
    <w:rsid w:val="00E92610"/>
    <w:rsid w:val="00E94B84"/>
    <w:rsid w:val="00EC22FC"/>
    <w:rsid w:val="00ED0A2B"/>
    <w:rsid w:val="00ED1D8F"/>
    <w:rsid w:val="00ED3A61"/>
    <w:rsid w:val="00EE61A2"/>
    <w:rsid w:val="00EF1ED1"/>
    <w:rsid w:val="00EF3F55"/>
    <w:rsid w:val="00F1128D"/>
    <w:rsid w:val="00F32C39"/>
    <w:rsid w:val="00F4252C"/>
    <w:rsid w:val="00F44F22"/>
    <w:rsid w:val="00F4789D"/>
    <w:rsid w:val="00F538F4"/>
    <w:rsid w:val="00F53D2B"/>
    <w:rsid w:val="00F56C9C"/>
    <w:rsid w:val="00F72BE5"/>
    <w:rsid w:val="00F74419"/>
    <w:rsid w:val="00F922CD"/>
    <w:rsid w:val="00FB364C"/>
    <w:rsid w:val="00FD0817"/>
    <w:rsid w:val="00FD37F8"/>
    <w:rsid w:val="00FE0922"/>
    <w:rsid w:val="00FE0DEE"/>
    <w:rsid w:val="00FE5759"/>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uiPriority w:val="34"/>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890">
      <w:bodyDiv w:val="1"/>
      <w:marLeft w:val="0"/>
      <w:marRight w:val="0"/>
      <w:marTop w:val="0"/>
      <w:marBottom w:val="0"/>
      <w:divBdr>
        <w:top w:val="none" w:sz="0" w:space="0" w:color="auto"/>
        <w:left w:val="none" w:sz="0" w:space="0" w:color="auto"/>
        <w:bottom w:val="none" w:sz="0" w:space="0" w:color="auto"/>
        <w:right w:val="none" w:sz="0" w:space="0" w:color="auto"/>
      </w:divBdr>
    </w:div>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779643075">
      <w:bodyDiv w:val="1"/>
      <w:marLeft w:val="0"/>
      <w:marRight w:val="0"/>
      <w:marTop w:val="0"/>
      <w:marBottom w:val="0"/>
      <w:divBdr>
        <w:top w:val="none" w:sz="0" w:space="0" w:color="auto"/>
        <w:left w:val="none" w:sz="0" w:space="0" w:color="auto"/>
        <w:bottom w:val="none" w:sz="0" w:space="0" w:color="auto"/>
        <w:right w:val="none" w:sz="0" w:space="0" w:color="auto"/>
      </w:divBdr>
    </w:div>
    <w:div w:id="897983621">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 w:id="147464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gminamiejskawal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862C-221F-436F-967F-8AEC9936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5407</Words>
  <Characters>32447</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7</cp:revision>
  <cp:lastPrinted>2024-10-31T12:35:00Z</cp:lastPrinted>
  <dcterms:created xsi:type="dcterms:W3CDTF">2024-10-18T05:17:00Z</dcterms:created>
  <dcterms:modified xsi:type="dcterms:W3CDTF">2024-10-31T13:15:00Z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