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E7" w:rsidRPr="00CF06E7" w:rsidRDefault="00CF06E7" w:rsidP="00B27425">
      <w:pPr>
        <w:pStyle w:val="NormalnyWeb"/>
        <w:spacing w:before="0" w:beforeAutospacing="0" w:after="0" w:afterAutospacing="0"/>
        <w:jc w:val="right"/>
      </w:pPr>
      <w:r w:rsidRPr="00CF06E7">
        <w:tab/>
      </w:r>
      <w:r w:rsidRPr="00CF06E7">
        <w:tab/>
      </w:r>
      <w:r w:rsidRPr="00CF06E7">
        <w:tab/>
        <w:t>Nowe Miasto Lubawskie, dnia 05.06.2020 r.</w:t>
      </w:r>
    </w:p>
    <w:p w:rsidR="00CF06E7" w:rsidRPr="00CF06E7" w:rsidRDefault="00CF06E7" w:rsidP="00CF06E7">
      <w:pPr>
        <w:pStyle w:val="NormalnyWeb"/>
        <w:spacing w:before="0" w:beforeAutospacing="0" w:after="0" w:afterAutospacing="0"/>
        <w:jc w:val="both"/>
      </w:pPr>
      <w:proofErr w:type="spellStart"/>
      <w:r w:rsidRPr="00CF06E7">
        <w:t>L.dz.SZP</w:t>
      </w:r>
      <w:proofErr w:type="spellEnd"/>
      <w:r w:rsidRPr="00CF06E7">
        <w:t>/ZP/1480/2020</w:t>
      </w:r>
    </w:p>
    <w:p w:rsidR="00CF06E7" w:rsidRPr="00CF06E7" w:rsidRDefault="00CF06E7" w:rsidP="00CF06E7">
      <w:pPr>
        <w:pStyle w:val="NormalnyWeb"/>
        <w:spacing w:before="0" w:beforeAutospacing="0" w:after="0" w:afterAutospacing="0"/>
        <w:jc w:val="both"/>
      </w:pPr>
    </w:p>
    <w:p w:rsidR="00CF06E7" w:rsidRDefault="00CF06E7" w:rsidP="00CF06E7">
      <w:pPr>
        <w:pStyle w:val="NormalnyWeb"/>
        <w:spacing w:before="0" w:beforeAutospacing="0" w:after="0" w:afterAutospacing="0"/>
        <w:jc w:val="both"/>
      </w:pPr>
    </w:p>
    <w:p w:rsidR="00B27425" w:rsidRPr="00CF06E7" w:rsidRDefault="00B27425" w:rsidP="00CF06E7">
      <w:pPr>
        <w:pStyle w:val="NormalnyWeb"/>
        <w:spacing w:before="0" w:beforeAutospacing="0" w:after="0" w:afterAutospacing="0"/>
        <w:jc w:val="both"/>
      </w:pPr>
    </w:p>
    <w:p w:rsidR="00CF06E7" w:rsidRPr="00B27425" w:rsidRDefault="00B27425" w:rsidP="00CF06E7">
      <w:pPr>
        <w:pStyle w:val="NormalnyWeb"/>
        <w:spacing w:before="0" w:beforeAutospacing="0" w:after="0" w:afterAutospacing="0"/>
        <w:jc w:val="both"/>
        <w:rPr>
          <w:b/>
        </w:rPr>
      </w:pPr>
      <w:r>
        <w:tab/>
      </w:r>
      <w:r>
        <w:tab/>
      </w:r>
      <w:r>
        <w:tab/>
      </w:r>
      <w:r>
        <w:tab/>
      </w:r>
      <w:r>
        <w:tab/>
      </w:r>
      <w:r>
        <w:tab/>
      </w:r>
      <w:r>
        <w:tab/>
      </w:r>
      <w:r w:rsidRPr="00B27425">
        <w:rPr>
          <w:b/>
        </w:rPr>
        <w:t>Wszyscy Wykonawcy</w:t>
      </w:r>
    </w:p>
    <w:p w:rsidR="00CF06E7" w:rsidRPr="00CF06E7" w:rsidRDefault="00CF06E7" w:rsidP="00CF06E7">
      <w:pPr>
        <w:pStyle w:val="NormalnyWeb"/>
        <w:spacing w:before="0" w:beforeAutospacing="0" w:after="0" w:afterAutospacing="0"/>
        <w:jc w:val="both"/>
        <w:rPr>
          <w:b/>
        </w:rPr>
      </w:pPr>
      <w:r w:rsidRPr="00CF06E7">
        <w:tab/>
      </w:r>
      <w:r w:rsidRPr="00CF06E7">
        <w:tab/>
      </w:r>
      <w:r w:rsidRPr="00CF06E7">
        <w:tab/>
      </w:r>
      <w:r w:rsidRPr="00CF06E7">
        <w:tab/>
      </w:r>
      <w:r w:rsidRPr="00CF06E7">
        <w:tab/>
      </w:r>
      <w:r w:rsidRPr="00CF06E7">
        <w:tab/>
      </w:r>
      <w:r w:rsidRPr="00CF06E7">
        <w:tab/>
      </w:r>
    </w:p>
    <w:p w:rsidR="00CF06E7" w:rsidRPr="00CF06E7" w:rsidRDefault="00CF06E7" w:rsidP="00CF06E7">
      <w:pPr>
        <w:pStyle w:val="NormalnyWeb"/>
        <w:spacing w:before="0" w:beforeAutospacing="0" w:after="0" w:afterAutospacing="0"/>
        <w:jc w:val="both"/>
      </w:pPr>
    </w:p>
    <w:p w:rsidR="00CF06E7" w:rsidRPr="00CF06E7" w:rsidRDefault="00CF06E7" w:rsidP="00CF06E7">
      <w:pPr>
        <w:spacing w:after="0" w:line="240" w:lineRule="auto"/>
        <w:jc w:val="both"/>
        <w:rPr>
          <w:rFonts w:ascii="Times New Roman" w:hAnsi="Times New Roman" w:cs="Times New Roman"/>
          <w:b/>
          <w:sz w:val="24"/>
          <w:szCs w:val="24"/>
        </w:rPr>
      </w:pPr>
    </w:p>
    <w:p w:rsidR="00CF06E7" w:rsidRPr="00CF06E7" w:rsidRDefault="00CF06E7" w:rsidP="00CF06E7">
      <w:pPr>
        <w:spacing w:after="0" w:line="240" w:lineRule="auto"/>
        <w:jc w:val="both"/>
        <w:rPr>
          <w:rFonts w:ascii="Times New Roman" w:hAnsi="Times New Roman" w:cs="Times New Roman"/>
          <w:b/>
          <w:sz w:val="24"/>
          <w:szCs w:val="24"/>
        </w:rPr>
      </w:pPr>
      <w:r w:rsidRPr="00CF06E7">
        <w:rPr>
          <w:rFonts w:ascii="Times New Roman" w:hAnsi="Times New Roman" w:cs="Times New Roman"/>
          <w:b/>
          <w:sz w:val="24"/>
          <w:szCs w:val="24"/>
        </w:rPr>
        <w:t>dotyczy: przetargu nieograniczonego na dostawy odczynników laboratoryjnych z dzierżawą aparatury oraz jednorazowego sprzętu laboratoryjnego (postępowanie nr 11/PN/2020)</w:t>
      </w:r>
    </w:p>
    <w:p w:rsidR="00CF06E7" w:rsidRPr="00CF06E7" w:rsidRDefault="00CF06E7" w:rsidP="00CF06E7">
      <w:pPr>
        <w:spacing w:after="0" w:line="240" w:lineRule="auto"/>
        <w:jc w:val="both"/>
        <w:rPr>
          <w:rFonts w:ascii="Times New Roman" w:hAnsi="Times New Roman" w:cs="Times New Roman"/>
          <w:sz w:val="24"/>
          <w:szCs w:val="24"/>
        </w:rPr>
      </w:pPr>
    </w:p>
    <w:p w:rsidR="00CF06E7" w:rsidRPr="00CF06E7" w:rsidRDefault="00132C84" w:rsidP="00B274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Informujemy, że do Zamawiającego wpłynęły poniższe </w:t>
      </w:r>
      <w:r w:rsidR="00CF06E7" w:rsidRPr="00CF06E7">
        <w:rPr>
          <w:rFonts w:ascii="Times New Roman" w:hAnsi="Times New Roman" w:cs="Times New Roman"/>
          <w:sz w:val="24"/>
          <w:szCs w:val="24"/>
        </w:rPr>
        <w:t>pyta</w:t>
      </w:r>
      <w:r>
        <w:rPr>
          <w:rFonts w:ascii="Times New Roman" w:hAnsi="Times New Roman" w:cs="Times New Roman"/>
          <w:sz w:val="24"/>
          <w:szCs w:val="24"/>
        </w:rPr>
        <w:t>nia</w:t>
      </w:r>
      <w:r w:rsidR="00CF06E7" w:rsidRPr="00CF06E7">
        <w:rPr>
          <w:rFonts w:ascii="Times New Roman" w:hAnsi="Times New Roman" w:cs="Times New Roman"/>
          <w:sz w:val="24"/>
          <w:szCs w:val="24"/>
        </w:rPr>
        <w:t>:</w:t>
      </w:r>
    </w:p>
    <w:p w:rsidR="00CF06E7" w:rsidRPr="00CF06E7" w:rsidRDefault="00CF06E7" w:rsidP="00CF06E7">
      <w:pPr>
        <w:pStyle w:val="Default"/>
        <w:jc w:val="both"/>
        <w:rPr>
          <w:rFonts w:ascii="Times New Roman" w:hAnsi="Times New Roman" w:cs="Times New Roman"/>
          <w:bCs/>
        </w:rPr>
      </w:pPr>
      <w:r w:rsidRPr="00CF06E7">
        <w:rPr>
          <w:rFonts w:ascii="Times New Roman" w:hAnsi="Times New Roman" w:cs="Times New Roman"/>
        </w:rPr>
        <w:t xml:space="preserve"> </w:t>
      </w:r>
      <w:r w:rsidRPr="00CF06E7">
        <w:rPr>
          <w:rFonts w:ascii="Times New Roman" w:hAnsi="Times New Roman" w:cs="Times New Roman"/>
          <w:bCs/>
        </w:rPr>
        <w:t xml:space="preserve">Grupa 1 - dostawy odczynników i materiałów zużywalnych do oznaczeń w serologii </w:t>
      </w:r>
      <w:proofErr w:type="spellStart"/>
      <w:r w:rsidRPr="00CF06E7">
        <w:rPr>
          <w:rFonts w:ascii="Times New Roman" w:hAnsi="Times New Roman" w:cs="Times New Roman"/>
          <w:bCs/>
        </w:rPr>
        <w:t>immunotransfuzjologicznej</w:t>
      </w:r>
      <w:proofErr w:type="spellEnd"/>
      <w:r w:rsidRPr="00CF06E7">
        <w:rPr>
          <w:rFonts w:ascii="Times New Roman" w:hAnsi="Times New Roman" w:cs="Times New Roman"/>
          <w:bCs/>
        </w:rPr>
        <w:t xml:space="preserve"> metodą aglutynacji krwinek czerwonych na </w:t>
      </w:r>
      <w:proofErr w:type="spellStart"/>
      <w:r w:rsidRPr="00CF06E7">
        <w:rPr>
          <w:rFonts w:ascii="Times New Roman" w:hAnsi="Times New Roman" w:cs="Times New Roman"/>
          <w:bCs/>
        </w:rPr>
        <w:t>mikrokolumnach</w:t>
      </w:r>
      <w:proofErr w:type="spellEnd"/>
      <w:r w:rsidRPr="00CF06E7">
        <w:rPr>
          <w:rFonts w:ascii="Times New Roman" w:hAnsi="Times New Roman" w:cs="Times New Roman"/>
          <w:bCs/>
        </w:rPr>
        <w:t xml:space="preserve"> wraz z dzierżawą aparatury z autoryzowanymi przez producenta walidacjami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i/>
          <w:iCs/>
        </w:rPr>
        <w:t xml:space="preserve">„Zgodnie z art. 38 </w:t>
      </w:r>
      <w:proofErr w:type="spellStart"/>
      <w:r w:rsidRPr="00CF06E7">
        <w:rPr>
          <w:rFonts w:ascii="Times New Roman" w:hAnsi="Times New Roman" w:cs="Times New Roman"/>
          <w:i/>
          <w:iCs/>
        </w:rPr>
        <w:t>Pzp</w:t>
      </w:r>
      <w:proofErr w:type="spellEnd"/>
      <w:r w:rsidRPr="00CF06E7">
        <w:rPr>
          <w:rFonts w:ascii="Times New Roman" w:hAnsi="Times New Roman" w:cs="Times New Roman"/>
          <w:i/>
          <w:iCs/>
        </w:rPr>
        <w:t xml:space="preserve"> niniejszym zwracamy się do Zamawiającego o wyjaśnienie treści specyfikacji istotnych warunków zamówienia”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Zarzucamy niezgodność </w:t>
      </w:r>
      <w:proofErr w:type="spellStart"/>
      <w:r w:rsidRPr="00CF06E7">
        <w:rPr>
          <w:rFonts w:ascii="Times New Roman" w:hAnsi="Times New Roman" w:cs="Times New Roman"/>
        </w:rPr>
        <w:t>siwz</w:t>
      </w:r>
      <w:proofErr w:type="spellEnd"/>
      <w:r w:rsidRPr="00CF06E7">
        <w:rPr>
          <w:rFonts w:ascii="Times New Roman" w:hAnsi="Times New Roman" w:cs="Times New Roman"/>
        </w:rPr>
        <w:t xml:space="preserve">: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1. </w:t>
      </w:r>
      <w:r w:rsidRPr="00CF06E7">
        <w:rPr>
          <w:rFonts w:ascii="Times New Roman" w:hAnsi="Times New Roman" w:cs="Times New Roman"/>
          <w:bCs/>
        </w:rPr>
        <w:t xml:space="preserve">art. 7 ust. 1 ustawy </w:t>
      </w:r>
      <w:proofErr w:type="spellStart"/>
      <w:r w:rsidRPr="00CF06E7">
        <w:rPr>
          <w:rFonts w:ascii="Times New Roman" w:hAnsi="Times New Roman" w:cs="Times New Roman"/>
          <w:bCs/>
        </w:rPr>
        <w:t>Pzp</w:t>
      </w:r>
      <w:proofErr w:type="spellEnd"/>
      <w:r w:rsidRPr="00CF06E7">
        <w:rPr>
          <w:rFonts w:ascii="Times New Roman" w:hAnsi="Times New Roman" w:cs="Times New Roman"/>
          <w:bCs/>
        </w:rPr>
        <w:t xml:space="preserve"> </w:t>
      </w:r>
      <w:r w:rsidRPr="00CF06E7">
        <w:rPr>
          <w:rFonts w:ascii="Times New Roman" w:hAnsi="Times New Roman" w:cs="Times New Roman"/>
        </w:rPr>
        <w:t xml:space="preserve">poprzez prowadzenie postępowania w sposób uchybiający zasadom uczciwej konkurencji i równego traktowania wykonawców;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2. </w:t>
      </w:r>
      <w:r w:rsidRPr="00CF06E7">
        <w:rPr>
          <w:rFonts w:ascii="Times New Roman" w:hAnsi="Times New Roman" w:cs="Times New Roman"/>
          <w:bCs/>
        </w:rPr>
        <w:t xml:space="preserve">art. 29 ust. 2 ustawy </w:t>
      </w:r>
      <w:proofErr w:type="spellStart"/>
      <w:r w:rsidRPr="00CF06E7">
        <w:rPr>
          <w:rFonts w:ascii="Times New Roman" w:hAnsi="Times New Roman" w:cs="Times New Roman"/>
          <w:bCs/>
        </w:rPr>
        <w:t>Pzp</w:t>
      </w:r>
      <w:proofErr w:type="spellEnd"/>
      <w:r w:rsidRPr="00CF06E7">
        <w:rPr>
          <w:rFonts w:ascii="Times New Roman" w:hAnsi="Times New Roman" w:cs="Times New Roman"/>
          <w:bCs/>
        </w:rPr>
        <w:t xml:space="preserve"> </w:t>
      </w:r>
      <w:r w:rsidRPr="00CF06E7">
        <w:rPr>
          <w:rFonts w:ascii="Times New Roman" w:hAnsi="Times New Roman" w:cs="Times New Roman"/>
        </w:rPr>
        <w:t xml:space="preserve">poprzez opisanie przedmiotu zamówienia w sposób, który utrudnia uczciwą konkurencję, wskazuje na wybór produktów tylko jednego producenta </w:t>
      </w:r>
      <w:proofErr w:type="spellStart"/>
      <w:r w:rsidRPr="00CF06E7">
        <w:rPr>
          <w:rFonts w:ascii="Times New Roman" w:hAnsi="Times New Roman" w:cs="Times New Roman"/>
        </w:rPr>
        <w:t>DiaMed</w:t>
      </w:r>
      <w:proofErr w:type="spellEnd"/>
      <w:r w:rsidRPr="00CF06E7">
        <w:rPr>
          <w:rFonts w:ascii="Times New Roman" w:hAnsi="Times New Roman" w:cs="Times New Roman"/>
        </w:rPr>
        <w:t xml:space="preserve"> (reprezentowany w Polsce przez </w:t>
      </w:r>
      <w:proofErr w:type="spellStart"/>
      <w:r w:rsidRPr="00CF06E7">
        <w:rPr>
          <w:rFonts w:ascii="Times New Roman" w:hAnsi="Times New Roman" w:cs="Times New Roman"/>
        </w:rPr>
        <w:t>DiaHem</w:t>
      </w:r>
      <w:proofErr w:type="spellEnd"/>
      <w:r w:rsidRPr="00CF06E7">
        <w:rPr>
          <w:rFonts w:ascii="Times New Roman" w:hAnsi="Times New Roman" w:cs="Times New Roman"/>
        </w:rPr>
        <w:t xml:space="preserve">) i uniemożliwia udział w postepowaniu innym podmiotom;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bCs/>
        </w:rPr>
        <w:t xml:space="preserve">Wnioski po analizie </w:t>
      </w:r>
      <w:proofErr w:type="spellStart"/>
      <w:r w:rsidRPr="00CF06E7">
        <w:rPr>
          <w:rFonts w:ascii="Times New Roman" w:hAnsi="Times New Roman" w:cs="Times New Roman"/>
          <w:bCs/>
        </w:rPr>
        <w:t>siwz</w:t>
      </w:r>
      <w:proofErr w:type="spellEnd"/>
      <w:r w:rsidRPr="00CF06E7">
        <w:rPr>
          <w:rFonts w:ascii="Times New Roman" w:hAnsi="Times New Roman" w:cs="Times New Roman"/>
          <w:bCs/>
        </w:rPr>
        <w:t xml:space="preserve">: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1. Zamawiający wprost opisał kartę </w:t>
      </w:r>
      <w:proofErr w:type="spellStart"/>
      <w:r w:rsidRPr="00CF06E7">
        <w:rPr>
          <w:rFonts w:ascii="Times New Roman" w:hAnsi="Times New Roman" w:cs="Times New Roman"/>
        </w:rPr>
        <w:t>DiaMed</w:t>
      </w:r>
      <w:proofErr w:type="spellEnd"/>
      <w:r w:rsidRPr="00CF06E7">
        <w:rPr>
          <w:rFonts w:ascii="Times New Roman" w:hAnsi="Times New Roman" w:cs="Times New Roman"/>
        </w:rPr>
        <w:t xml:space="preserve">, co jest niezgodne z art. 7 oraz art. 29 </w:t>
      </w:r>
      <w:proofErr w:type="spellStart"/>
      <w:r w:rsidRPr="00CF06E7">
        <w:rPr>
          <w:rFonts w:ascii="Times New Roman" w:hAnsi="Times New Roman" w:cs="Times New Roman"/>
        </w:rPr>
        <w:t>Pzp</w:t>
      </w:r>
      <w:proofErr w:type="spellEnd"/>
      <w:r w:rsidRPr="00CF06E7">
        <w:rPr>
          <w:rFonts w:ascii="Times New Roman" w:hAnsi="Times New Roman" w:cs="Times New Roman"/>
        </w:rPr>
        <w:t xml:space="preserve">. oraz prowadzi do uzyskania jednej oferty, która niekoniecznie musi być najkorzystniejsza cenowo lub jakościowo. Dodatkowo zmienił opis w pozycji nr 1 </w:t>
      </w:r>
      <w:r w:rsidRPr="00CF06E7">
        <w:rPr>
          <w:rFonts w:ascii="Times New Roman" w:hAnsi="Times New Roman" w:cs="Times New Roman"/>
          <w:bCs/>
        </w:rPr>
        <w:t xml:space="preserve">dopisując wymaganie , aby odczynniki były dostępne na jednej karcie aby nikt nie zaoferował innej technologii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2. Zamawiający wymaga karty do badania grup krwi w pozycji nr 1, 2 na której wykona </w:t>
      </w:r>
      <w:r w:rsidRPr="00CF06E7">
        <w:rPr>
          <w:rFonts w:ascii="Times New Roman" w:hAnsi="Times New Roman" w:cs="Times New Roman"/>
          <w:bCs/>
        </w:rPr>
        <w:t>badanie połowicznie</w:t>
      </w:r>
      <w:r w:rsidRPr="00CF06E7">
        <w:rPr>
          <w:rFonts w:ascii="Times New Roman" w:hAnsi="Times New Roman" w:cs="Times New Roman"/>
        </w:rPr>
        <w:t xml:space="preserve">, zatem wynik nie może być podstawa do leczenia i diagnozowania pacjenta przez lekarza.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3. Obwieszczenie Ministra Zdrowia z roku 2019 nie wymaga, aby szpitale używały tylko i wyłącznie kart </w:t>
      </w:r>
      <w:proofErr w:type="spellStart"/>
      <w:r w:rsidRPr="00CF06E7">
        <w:rPr>
          <w:rFonts w:ascii="Times New Roman" w:hAnsi="Times New Roman" w:cs="Times New Roman"/>
        </w:rPr>
        <w:t>DiaMed</w:t>
      </w:r>
      <w:proofErr w:type="spellEnd"/>
      <w:r w:rsidRPr="00CF06E7">
        <w:rPr>
          <w:rFonts w:ascii="Times New Roman" w:hAnsi="Times New Roman" w:cs="Times New Roman"/>
        </w:rPr>
        <w:t xml:space="preserve">. Istnieją inne systemy, rodzimej produkcji z obszaru UE, jednak zamawiający ograniczył im dostęp do postępowania na korzyść jednej firmy.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4. Do badania grup krwi wymagane są dwa odczynniki anty-A, dwa odczynniki anty-B oraz dwa odczynniki anty-D. Zamawiający w grupie 1: w pozycjach od 3 do 6 wymaga odczynników do wykonania badania grup krwi w sposób zgodny z wymaganiami. Natomiast w pozycjach 1 i 2 wymaga określonej karty tylko dlatego, że jest dostępna w jednej firmie. Zatem opis przedmiotu zamówienia skutecznie ograniczy naszej firmie złożenie oferty co jest niezgodne z art. 7 art. 29 art. 30 </w:t>
      </w:r>
      <w:proofErr w:type="spellStart"/>
      <w:r w:rsidRPr="00CF06E7">
        <w:rPr>
          <w:rFonts w:ascii="Times New Roman" w:hAnsi="Times New Roman" w:cs="Times New Roman"/>
        </w:rPr>
        <w:t>Pzp</w:t>
      </w:r>
      <w:proofErr w:type="spellEnd"/>
      <w:r w:rsidRPr="00CF06E7">
        <w:rPr>
          <w:rFonts w:ascii="Times New Roman" w:hAnsi="Times New Roman" w:cs="Times New Roman"/>
        </w:rPr>
        <w:t xml:space="preserve"> .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5. </w:t>
      </w:r>
      <w:r w:rsidRPr="00CF06E7">
        <w:rPr>
          <w:rFonts w:ascii="Times New Roman" w:hAnsi="Times New Roman" w:cs="Times New Roman"/>
          <w:bCs/>
        </w:rPr>
        <w:t xml:space="preserve">Wskazujemy, że badanie pełne uzyska się po zastosowaniu kart z pozycji nr 5 i 6 gdzie jest odczynnik drugi anty-D podobnie jak anty-A i anty -B, zatem bezzasadne jest wymaganie 2 klonów anty-D w pozycjach 1, 2 gdzie jeden z nich ma posiadać dodatkowo cechę DVI+. </w:t>
      </w:r>
      <w:proofErr w:type="spellStart"/>
      <w:r w:rsidRPr="00CF06E7">
        <w:rPr>
          <w:rFonts w:ascii="Times New Roman" w:hAnsi="Times New Roman" w:cs="Times New Roman"/>
          <w:bCs/>
        </w:rPr>
        <w:t>Powyśze</w:t>
      </w:r>
      <w:proofErr w:type="spellEnd"/>
      <w:r w:rsidRPr="00CF06E7">
        <w:rPr>
          <w:rFonts w:ascii="Times New Roman" w:hAnsi="Times New Roman" w:cs="Times New Roman"/>
          <w:bCs/>
        </w:rPr>
        <w:t xml:space="preserve"> potwierdza Ministerstwo Zdrowia i </w:t>
      </w:r>
      <w:proofErr w:type="spellStart"/>
      <w:r w:rsidRPr="00CF06E7">
        <w:rPr>
          <w:rFonts w:ascii="Times New Roman" w:hAnsi="Times New Roman" w:cs="Times New Roman"/>
          <w:bCs/>
        </w:rPr>
        <w:t>IHiT</w:t>
      </w:r>
      <w:proofErr w:type="spellEnd"/>
      <w:r w:rsidRPr="00CF06E7">
        <w:rPr>
          <w:rFonts w:ascii="Times New Roman" w:hAnsi="Times New Roman" w:cs="Times New Roman"/>
          <w:bCs/>
        </w:rPr>
        <w:t xml:space="preserve"> ( w załączeniu)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6. </w:t>
      </w:r>
      <w:r w:rsidRPr="00CF06E7">
        <w:rPr>
          <w:rFonts w:ascii="Times New Roman" w:hAnsi="Times New Roman" w:cs="Times New Roman"/>
          <w:bCs/>
        </w:rPr>
        <w:t xml:space="preserve">Zestawieni parametrów wymaganych w </w:t>
      </w:r>
      <w:proofErr w:type="spellStart"/>
      <w:r w:rsidRPr="00CF06E7">
        <w:rPr>
          <w:rFonts w:ascii="Times New Roman" w:hAnsi="Times New Roman" w:cs="Times New Roman"/>
          <w:bCs/>
        </w:rPr>
        <w:t>siwz</w:t>
      </w:r>
      <w:proofErr w:type="spellEnd"/>
      <w:r w:rsidRPr="00CF06E7">
        <w:rPr>
          <w:rFonts w:ascii="Times New Roman" w:hAnsi="Times New Roman" w:cs="Times New Roman"/>
          <w:bCs/>
        </w:rPr>
        <w:t xml:space="preserve"> a dostępnych na rynku: </w:t>
      </w:r>
    </w:p>
    <w:tbl>
      <w:tblPr>
        <w:tblW w:w="0" w:type="auto"/>
        <w:tblBorders>
          <w:top w:val="nil"/>
          <w:left w:val="nil"/>
          <w:bottom w:val="nil"/>
          <w:right w:val="nil"/>
        </w:tblBorders>
        <w:tblLayout w:type="fixed"/>
        <w:tblLook w:val="0000" w:firstRow="0" w:lastRow="0" w:firstColumn="0" w:lastColumn="0" w:noHBand="0" w:noVBand="0"/>
      </w:tblPr>
      <w:tblGrid>
        <w:gridCol w:w="4515"/>
        <w:gridCol w:w="4516"/>
      </w:tblGrid>
      <w:tr w:rsidR="00CF06E7" w:rsidRPr="00CF06E7">
        <w:tblPrEx>
          <w:tblCellMar>
            <w:top w:w="0" w:type="dxa"/>
            <w:bottom w:w="0" w:type="dxa"/>
          </w:tblCellMar>
        </w:tblPrEx>
        <w:trPr>
          <w:trHeight w:val="293"/>
        </w:trPr>
        <w:tc>
          <w:tcPr>
            <w:tcW w:w="9031" w:type="dxa"/>
            <w:gridSpan w:val="2"/>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Wymagania </w:t>
            </w:r>
            <w:proofErr w:type="spellStart"/>
            <w:r w:rsidRPr="00CF06E7">
              <w:rPr>
                <w:rFonts w:ascii="Times New Roman" w:hAnsi="Times New Roman" w:cs="Times New Roman"/>
              </w:rPr>
              <w:t>siwz</w:t>
            </w:r>
            <w:proofErr w:type="spellEnd"/>
            <w:r w:rsidRPr="00CF06E7">
              <w:rPr>
                <w:rFonts w:ascii="Times New Roman" w:hAnsi="Times New Roman" w:cs="Times New Roman"/>
              </w:rPr>
              <w:t xml:space="preserve"> -dedykowane jak poniżej: </w:t>
            </w:r>
          </w:p>
        </w:tc>
      </w:tr>
      <w:tr w:rsidR="00CF06E7" w:rsidRPr="00CF06E7">
        <w:tblPrEx>
          <w:tblCellMar>
            <w:top w:w="0" w:type="dxa"/>
            <w:bottom w:w="0" w:type="dxa"/>
          </w:tblCellMar>
        </w:tblPrEx>
        <w:trPr>
          <w:trHeight w:val="103"/>
        </w:trPr>
        <w:tc>
          <w:tcPr>
            <w:tcW w:w="4515"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Opis marki </w:t>
            </w:r>
            <w:proofErr w:type="spellStart"/>
            <w:r w:rsidRPr="00CF06E7">
              <w:rPr>
                <w:rFonts w:ascii="Times New Roman" w:hAnsi="Times New Roman" w:cs="Times New Roman"/>
              </w:rPr>
              <w:t>DiaMed</w:t>
            </w:r>
            <w:proofErr w:type="spellEnd"/>
            <w:r w:rsidRPr="00CF06E7">
              <w:rPr>
                <w:rFonts w:ascii="Times New Roman" w:hAnsi="Times New Roman" w:cs="Times New Roman"/>
              </w:rPr>
              <w:t xml:space="preserve"> (Szwajcaria) </w:t>
            </w:r>
          </w:p>
        </w:tc>
        <w:tc>
          <w:tcPr>
            <w:tcW w:w="4515"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bCs/>
              </w:rPr>
              <w:t xml:space="preserve">Dostępne w Polsce innych producentów z </w:t>
            </w:r>
            <w:r w:rsidRPr="00CF06E7">
              <w:rPr>
                <w:rFonts w:ascii="Times New Roman" w:hAnsi="Times New Roman" w:cs="Times New Roman"/>
                <w:bCs/>
              </w:rPr>
              <w:lastRenderedPageBreak/>
              <w:t xml:space="preserve">UE </w:t>
            </w:r>
          </w:p>
        </w:tc>
      </w:tr>
      <w:tr w:rsidR="00CF06E7" w:rsidRPr="00CF06E7">
        <w:tblPrEx>
          <w:tblCellMar>
            <w:top w:w="0" w:type="dxa"/>
            <w:bottom w:w="0" w:type="dxa"/>
          </w:tblCellMar>
        </w:tblPrEx>
        <w:trPr>
          <w:trHeight w:val="103"/>
        </w:trPr>
        <w:tc>
          <w:tcPr>
            <w:tcW w:w="4515"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bCs/>
              </w:rPr>
              <w:lastRenderedPageBreak/>
              <w:t xml:space="preserve">Karty 6 kolumnowe </w:t>
            </w:r>
          </w:p>
        </w:tc>
        <w:tc>
          <w:tcPr>
            <w:tcW w:w="4515"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bCs/>
              </w:rPr>
              <w:t xml:space="preserve">Karty 6-8 kolumnowe </w:t>
            </w:r>
          </w:p>
        </w:tc>
      </w:tr>
      <w:tr w:rsidR="00CF06E7" w:rsidRPr="00CF06E7">
        <w:tblPrEx>
          <w:tblCellMar>
            <w:top w:w="0" w:type="dxa"/>
            <w:bottom w:w="0" w:type="dxa"/>
          </w:tblCellMar>
        </w:tblPrEx>
        <w:trPr>
          <w:trHeight w:val="1242"/>
        </w:trPr>
        <w:tc>
          <w:tcPr>
            <w:tcW w:w="4515"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I oznaczenie grupy krwi: antygeny układu AB0 i Rh: anty-A, anty-B, anty-D (VI+), anty-D (VI-), </w:t>
            </w:r>
            <w:proofErr w:type="spellStart"/>
            <w:r w:rsidRPr="00CF06E7">
              <w:rPr>
                <w:rFonts w:ascii="Times New Roman" w:hAnsi="Times New Roman" w:cs="Times New Roman"/>
              </w:rPr>
              <w:t>izoaglutaniny</w:t>
            </w:r>
            <w:proofErr w:type="spellEnd"/>
            <w:r w:rsidRPr="00CF06E7">
              <w:rPr>
                <w:rFonts w:ascii="Times New Roman" w:hAnsi="Times New Roman" w:cs="Times New Roman"/>
              </w:rPr>
              <w:t xml:space="preserve"> A1, B. Wszystko na jednej karcie, kolumny wypełnione odczynnikami przez producenta </w:t>
            </w:r>
          </w:p>
        </w:tc>
        <w:tc>
          <w:tcPr>
            <w:tcW w:w="4515"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I oznaczenie grupy krwi: antygeny układu AB0 i Rh: anty-A, anty-B, anty-D (VI-), </w:t>
            </w:r>
            <w:proofErr w:type="spellStart"/>
            <w:r w:rsidRPr="00CF06E7">
              <w:rPr>
                <w:rFonts w:ascii="Times New Roman" w:hAnsi="Times New Roman" w:cs="Times New Roman"/>
              </w:rPr>
              <w:t>izoaglutaniny</w:t>
            </w:r>
            <w:proofErr w:type="spellEnd"/>
            <w:r w:rsidRPr="00CF06E7">
              <w:rPr>
                <w:rFonts w:ascii="Times New Roman" w:hAnsi="Times New Roman" w:cs="Times New Roman"/>
              </w:rPr>
              <w:t xml:space="preserve"> A1, B.-</w:t>
            </w:r>
            <w:proofErr w:type="spellStart"/>
            <w:r w:rsidRPr="00CF06E7">
              <w:rPr>
                <w:rFonts w:ascii="Times New Roman" w:hAnsi="Times New Roman" w:cs="Times New Roman"/>
              </w:rPr>
              <w:t>ctl</w:t>
            </w:r>
            <w:proofErr w:type="spellEnd"/>
            <w:r w:rsidRPr="00CF06E7">
              <w:rPr>
                <w:rFonts w:ascii="Times New Roman" w:hAnsi="Times New Roman" w:cs="Times New Roman"/>
              </w:rPr>
              <w:t xml:space="preserve"> ( Wszystko na jednej karcie, kolumny wypełnione odczynnikami przez producenta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bCs/>
              </w:rPr>
              <w:t xml:space="preserve">Lub: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anty-A, anty-B, anty-D (VI-), anty-D (VI-) </w:t>
            </w:r>
            <w:proofErr w:type="spellStart"/>
            <w:r w:rsidRPr="00CF06E7">
              <w:rPr>
                <w:rFonts w:ascii="Times New Roman" w:hAnsi="Times New Roman" w:cs="Times New Roman"/>
              </w:rPr>
              <w:t>izoaglutaniny</w:t>
            </w:r>
            <w:proofErr w:type="spellEnd"/>
            <w:r w:rsidRPr="00CF06E7">
              <w:rPr>
                <w:rFonts w:ascii="Times New Roman" w:hAnsi="Times New Roman" w:cs="Times New Roman"/>
              </w:rPr>
              <w:t xml:space="preserve"> A1, B.-</w:t>
            </w:r>
            <w:proofErr w:type="spellStart"/>
            <w:r w:rsidRPr="00CF06E7">
              <w:rPr>
                <w:rFonts w:ascii="Times New Roman" w:hAnsi="Times New Roman" w:cs="Times New Roman"/>
              </w:rPr>
              <w:t>ctl</w:t>
            </w:r>
            <w:proofErr w:type="spellEnd"/>
            <w:r w:rsidRPr="00CF06E7">
              <w:rPr>
                <w:rFonts w:ascii="Times New Roman" w:hAnsi="Times New Roman" w:cs="Times New Roman"/>
              </w:rPr>
              <w:t xml:space="preserve"> dodatkowo anty-AB </w:t>
            </w:r>
          </w:p>
        </w:tc>
      </w:tr>
      <w:tr w:rsidR="00CF06E7" w:rsidRPr="00CF06E7">
        <w:tblPrEx>
          <w:tblCellMar>
            <w:top w:w="0" w:type="dxa"/>
            <w:bottom w:w="0" w:type="dxa"/>
          </w:tblCellMar>
        </w:tblPrEx>
        <w:trPr>
          <w:trHeight w:val="673"/>
        </w:trPr>
        <w:tc>
          <w:tcPr>
            <w:tcW w:w="4515"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Badanie grupy krwi noworodka z BTA (I-sza seria) A-B-D (VI-)-D(VI-)-</w:t>
            </w:r>
            <w:proofErr w:type="spellStart"/>
            <w:r w:rsidRPr="00CF06E7">
              <w:rPr>
                <w:rFonts w:ascii="Times New Roman" w:hAnsi="Times New Roman" w:cs="Times New Roman"/>
              </w:rPr>
              <w:t>ctl</w:t>
            </w:r>
            <w:proofErr w:type="spellEnd"/>
            <w:r w:rsidRPr="00CF06E7">
              <w:rPr>
                <w:rFonts w:ascii="Times New Roman" w:hAnsi="Times New Roman" w:cs="Times New Roman"/>
              </w:rPr>
              <w:t xml:space="preserve">-BTA </w:t>
            </w:r>
          </w:p>
        </w:tc>
        <w:tc>
          <w:tcPr>
            <w:tcW w:w="4515"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Badanie grupy krwi noworodka z BTA (I-sza seria) A-B-AB-D (VI-) </w:t>
            </w:r>
            <w:proofErr w:type="spellStart"/>
            <w:r w:rsidRPr="00CF06E7">
              <w:rPr>
                <w:rFonts w:ascii="Times New Roman" w:hAnsi="Times New Roman" w:cs="Times New Roman"/>
              </w:rPr>
              <w:t>ctl</w:t>
            </w:r>
            <w:proofErr w:type="spellEnd"/>
            <w:r w:rsidRPr="00CF06E7">
              <w:rPr>
                <w:rFonts w:ascii="Times New Roman" w:hAnsi="Times New Roman" w:cs="Times New Roman"/>
              </w:rPr>
              <w:t xml:space="preserve">-BTA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bCs/>
              </w:rPr>
              <w:t xml:space="preserve">Lub </w:t>
            </w:r>
          </w:p>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A-B -D (VI-) </w:t>
            </w:r>
            <w:proofErr w:type="spellStart"/>
            <w:r w:rsidRPr="00CF06E7">
              <w:rPr>
                <w:rFonts w:ascii="Times New Roman" w:hAnsi="Times New Roman" w:cs="Times New Roman"/>
              </w:rPr>
              <w:t>ctl</w:t>
            </w:r>
            <w:proofErr w:type="spellEnd"/>
            <w:r w:rsidRPr="00CF06E7">
              <w:rPr>
                <w:rFonts w:ascii="Times New Roman" w:hAnsi="Times New Roman" w:cs="Times New Roman"/>
              </w:rPr>
              <w:t xml:space="preserve">-BTA- A1-B </w:t>
            </w:r>
          </w:p>
        </w:tc>
      </w:tr>
      <w:tr w:rsidR="00CF06E7" w:rsidRPr="00CF06E7">
        <w:tblPrEx>
          <w:tblCellMar>
            <w:top w:w="0" w:type="dxa"/>
            <w:bottom w:w="0" w:type="dxa"/>
          </w:tblCellMar>
        </w:tblPrEx>
        <w:trPr>
          <w:trHeight w:val="103"/>
        </w:trPr>
        <w:tc>
          <w:tcPr>
            <w:tcW w:w="4515"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Wirówka 6-12 kart </w:t>
            </w:r>
          </w:p>
        </w:tc>
        <w:tc>
          <w:tcPr>
            <w:tcW w:w="4515"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Wirówka 24 kart </w:t>
            </w:r>
          </w:p>
        </w:tc>
      </w:tr>
      <w:tr w:rsidR="00CF06E7" w:rsidRPr="00CF06E7">
        <w:tblPrEx>
          <w:tblCellMar>
            <w:top w:w="0" w:type="dxa"/>
            <w:bottom w:w="0" w:type="dxa"/>
          </w:tblCellMar>
        </w:tblPrEx>
        <w:trPr>
          <w:trHeight w:val="293"/>
        </w:trPr>
        <w:tc>
          <w:tcPr>
            <w:tcW w:w="4515"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Wirówko -czytnik czas odczytu 5 minut </w:t>
            </w:r>
          </w:p>
        </w:tc>
        <w:tc>
          <w:tcPr>
            <w:tcW w:w="4515"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Wirówka i czytnik-czas odczytu natychmiast </w:t>
            </w:r>
          </w:p>
        </w:tc>
      </w:tr>
    </w:tbl>
    <w:p w:rsidR="00CF06E7" w:rsidRPr="00CF06E7" w:rsidRDefault="00CF06E7" w:rsidP="00CF06E7">
      <w:pPr>
        <w:pStyle w:val="NormalnyWeb"/>
        <w:spacing w:before="0" w:beforeAutospacing="0" w:after="0" w:afterAutospacing="0"/>
        <w:jc w:val="both"/>
      </w:pPr>
    </w:p>
    <w:tbl>
      <w:tblPr>
        <w:tblW w:w="0" w:type="auto"/>
        <w:tblBorders>
          <w:top w:val="nil"/>
          <w:left w:val="nil"/>
          <w:bottom w:val="nil"/>
          <w:right w:val="nil"/>
        </w:tblBorders>
        <w:tblLayout w:type="fixed"/>
        <w:tblLook w:val="0000" w:firstRow="0" w:lastRow="0" w:firstColumn="0" w:lastColumn="0" w:noHBand="0" w:noVBand="0"/>
      </w:tblPr>
      <w:tblGrid>
        <w:gridCol w:w="4522"/>
        <w:gridCol w:w="4522"/>
      </w:tblGrid>
      <w:tr w:rsidR="00CF06E7" w:rsidRPr="00CF06E7">
        <w:tblPrEx>
          <w:tblCellMar>
            <w:top w:w="0" w:type="dxa"/>
            <w:bottom w:w="0" w:type="dxa"/>
          </w:tblCellMar>
        </w:tblPrEx>
        <w:trPr>
          <w:trHeight w:val="1811"/>
        </w:trPr>
        <w:tc>
          <w:tcPr>
            <w:tcW w:w="4522"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Wymagane jest badanie grupy krwi dorosłych (I-sza seria) mikrometodą kolumnową z użyciem odczynników: anty-A, anty-B, anty-D(VI-), anty-D(VI+), izoaglutyniny grupowe A1, B. Mikrokarty wypełnione odczynnikami przez producenta. Karta składająca się z 6 </w:t>
            </w:r>
            <w:proofErr w:type="spellStart"/>
            <w:r w:rsidRPr="00CF06E7">
              <w:rPr>
                <w:rFonts w:ascii="Times New Roman" w:hAnsi="Times New Roman" w:cs="Times New Roman"/>
              </w:rPr>
              <w:t>mikrokolumn</w:t>
            </w:r>
            <w:proofErr w:type="spellEnd"/>
            <w:r w:rsidRPr="00CF06E7">
              <w:rPr>
                <w:rFonts w:ascii="Times New Roman" w:hAnsi="Times New Roman" w:cs="Times New Roman"/>
              </w:rPr>
              <w:t xml:space="preserve">. - PODAĆ NAZWY KLONÓW </w:t>
            </w:r>
          </w:p>
        </w:tc>
        <w:tc>
          <w:tcPr>
            <w:tcW w:w="4522"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badanie grupy krwi dorosłych (I-sza seria) mikrometodą kolumnową z użyciem odczynników: anty-A, anty-B, anty-D(VI-), izoaglutyniny grupowe A1, B. Mikrokarty wypełnione odczynnikami przez producenta. Karta składająca się z 6 -8 </w:t>
            </w:r>
            <w:proofErr w:type="spellStart"/>
            <w:r w:rsidRPr="00CF06E7">
              <w:rPr>
                <w:rFonts w:ascii="Times New Roman" w:hAnsi="Times New Roman" w:cs="Times New Roman"/>
              </w:rPr>
              <w:t>mikrokolumn</w:t>
            </w:r>
            <w:proofErr w:type="spellEnd"/>
            <w:r w:rsidRPr="00CF06E7">
              <w:rPr>
                <w:rFonts w:ascii="Times New Roman" w:hAnsi="Times New Roman" w:cs="Times New Roman"/>
              </w:rPr>
              <w:t xml:space="preserve">. - PODAĆ NAZWY KLONÓW (inne niż w pozycji nr 6) </w:t>
            </w:r>
          </w:p>
        </w:tc>
      </w:tr>
      <w:tr w:rsidR="00CF06E7" w:rsidRPr="00CF06E7">
        <w:tblPrEx>
          <w:tblCellMar>
            <w:top w:w="0" w:type="dxa"/>
            <w:bottom w:w="0" w:type="dxa"/>
          </w:tblCellMar>
        </w:tblPrEx>
        <w:trPr>
          <w:trHeight w:val="1621"/>
        </w:trPr>
        <w:tc>
          <w:tcPr>
            <w:tcW w:w="4522"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Wymagane jest badanie grupy krwi noworodka (I-sza seria): anty-A, anty-B, anty-D(VI-), anty-D(VI-), </w:t>
            </w:r>
            <w:proofErr w:type="spellStart"/>
            <w:r w:rsidRPr="00CF06E7">
              <w:rPr>
                <w:rFonts w:ascii="Times New Roman" w:hAnsi="Times New Roman" w:cs="Times New Roman"/>
              </w:rPr>
              <w:t>ctl</w:t>
            </w:r>
            <w:proofErr w:type="spellEnd"/>
            <w:r w:rsidRPr="00CF06E7">
              <w:rPr>
                <w:rFonts w:ascii="Times New Roman" w:hAnsi="Times New Roman" w:cs="Times New Roman"/>
              </w:rPr>
              <w:t xml:space="preserve">, BTA, mikrometodą kolumnową. Dwa różne klony odczynnika anty-D. Mikrokarty wypełnione odczynnikami przez producenta. Karta składa się z 6 </w:t>
            </w:r>
            <w:proofErr w:type="spellStart"/>
            <w:r w:rsidRPr="00CF06E7">
              <w:rPr>
                <w:rFonts w:ascii="Times New Roman" w:hAnsi="Times New Roman" w:cs="Times New Roman"/>
              </w:rPr>
              <w:t>mikrokolumn</w:t>
            </w:r>
            <w:proofErr w:type="spellEnd"/>
            <w:r w:rsidRPr="00CF06E7">
              <w:rPr>
                <w:rFonts w:ascii="Times New Roman" w:hAnsi="Times New Roman" w:cs="Times New Roman"/>
              </w:rPr>
              <w:t xml:space="preserve">. PODAĆ NAZWY KLONÓW </w:t>
            </w:r>
          </w:p>
        </w:tc>
        <w:tc>
          <w:tcPr>
            <w:tcW w:w="4522" w:type="dxa"/>
          </w:tcPr>
          <w:p w:rsidR="00CF06E7" w:rsidRPr="00CF06E7" w:rsidRDefault="00CF06E7" w:rsidP="00CF06E7">
            <w:pPr>
              <w:pStyle w:val="Default"/>
              <w:jc w:val="both"/>
              <w:rPr>
                <w:rFonts w:ascii="Times New Roman" w:hAnsi="Times New Roman" w:cs="Times New Roman"/>
              </w:rPr>
            </w:pPr>
            <w:r w:rsidRPr="00CF06E7">
              <w:rPr>
                <w:rFonts w:ascii="Times New Roman" w:hAnsi="Times New Roman" w:cs="Times New Roman"/>
              </w:rPr>
              <w:t xml:space="preserve">Wymagane jest badanie grupy krwi noworodka (I-sza seria):, mikrometodą kolumnową. Mikrokarty wypełnione odczynnikami przez producenta. Karta składa się z 6-8 </w:t>
            </w:r>
            <w:proofErr w:type="spellStart"/>
            <w:r w:rsidRPr="00CF06E7">
              <w:rPr>
                <w:rFonts w:ascii="Times New Roman" w:hAnsi="Times New Roman" w:cs="Times New Roman"/>
              </w:rPr>
              <w:t>mikrokolumn</w:t>
            </w:r>
            <w:proofErr w:type="spellEnd"/>
            <w:r w:rsidRPr="00CF06E7">
              <w:rPr>
                <w:rFonts w:ascii="Times New Roman" w:hAnsi="Times New Roman" w:cs="Times New Roman"/>
              </w:rPr>
              <w:t xml:space="preserve">. PODAĆ NAZWY KLONÓW (inne niż w pozycji nr 6) </w:t>
            </w:r>
          </w:p>
        </w:tc>
      </w:tr>
    </w:tbl>
    <w:p w:rsidR="00B27425" w:rsidRDefault="00B27425" w:rsidP="00CF06E7">
      <w:pPr>
        <w:pStyle w:val="Default"/>
        <w:jc w:val="both"/>
        <w:rPr>
          <w:rFonts w:ascii="Times New Roman" w:hAnsi="Times New Roman" w:cs="Times New Roman"/>
          <w:bCs/>
        </w:rPr>
      </w:pPr>
    </w:p>
    <w:p w:rsidR="00B27425" w:rsidRPr="00B27425" w:rsidRDefault="00B27425" w:rsidP="00B27425">
      <w:pPr>
        <w:pStyle w:val="Default"/>
        <w:jc w:val="both"/>
        <w:rPr>
          <w:rFonts w:ascii="Times New Roman" w:hAnsi="Times New Roman" w:cs="Times New Roman"/>
        </w:rPr>
      </w:pPr>
      <w:r w:rsidRPr="00B27425">
        <w:rPr>
          <w:rFonts w:ascii="Times New Roman" w:hAnsi="Times New Roman" w:cs="Times New Roman"/>
          <w:bCs/>
        </w:rPr>
        <w:t xml:space="preserve">Dodatkowe wyjaśnienia: </w:t>
      </w:r>
    </w:p>
    <w:p w:rsidR="00B27425" w:rsidRPr="00B27425" w:rsidRDefault="00B27425" w:rsidP="00B27425">
      <w:pPr>
        <w:pStyle w:val="Default"/>
        <w:jc w:val="both"/>
        <w:rPr>
          <w:rFonts w:ascii="Times New Roman" w:hAnsi="Times New Roman" w:cs="Times New Roman"/>
        </w:rPr>
      </w:pPr>
      <w:r w:rsidRPr="00B27425">
        <w:rPr>
          <w:rFonts w:ascii="Times New Roman" w:hAnsi="Times New Roman" w:cs="Times New Roman"/>
          <w:bCs/>
        </w:rPr>
        <w:t xml:space="preserve">1.1 Badania grup krwi dorosłego wykonuje się kartą o konfiguracji: </w:t>
      </w:r>
    </w:p>
    <w:p w:rsidR="00B27425" w:rsidRPr="00B27425" w:rsidRDefault="00B27425" w:rsidP="00B27425">
      <w:pPr>
        <w:pStyle w:val="Default"/>
        <w:jc w:val="both"/>
        <w:rPr>
          <w:rFonts w:ascii="Times New Roman" w:hAnsi="Times New Roman" w:cs="Times New Roman"/>
        </w:rPr>
      </w:pPr>
      <w:r w:rsidRPr="00B27425">
        <w:rPr>
          <w:rFonts w:ascii="Times New Roman" w:hAnsi="Times New Roman" w:cs="Times New Roman"/>
          <w:bCs/>
        </w:rPr>
        <w:t xml:space="preserve">A-B-D(VI)- A1-B-ctl (wymagana kontrola) </w:t>
      </w:r>
    </w:p>
    <w:p w:rsidR="00B27425" w:rsidRPr="00B27425" w:rsidRDefault="00B27425" w:rsidP="00B27425">
      <w:pPr>
        <w:pStyle w:val="Default"/>
        <w:jc w:val="both"/>
        <w:rPr>
          <w:rFonts w:ascii="Times New Roman" w:hAnsi="Times New Roman" w:cs="Times New Roman"/>
        </w:rPr>
      </w:pPr>
      <w:r w:rsidRPr="00B27425">
        <w:rPr>
          <w:rFonts w:ascii="Times New Roman" w:hAnsi="Times New Roman" w:cs="Times New Roman"/>
          <w:bCs/>
        </w:rPr>
        <w:t xml:space="preserve">1.2 Potwierdza się kartą z pozycji nr 6 2.1. Badania grup krwi noworodka wykonuje się na karcie o konfiguracji: </w:t>
      </w:r>
    </w:p>
    <w:p w:rsidR="00B27425" w:rsidRPr="00B27425" w:rsidRDefault="00B27425" w:rsidP="00B27425">
      <w:pPr>
        <w:pStyle w:val="Default"/>
        <w:jc w:val="both"/>
        <w:rPr>
          <w:rFonts w:ascii="Times New Roman" w:hAnsi="Times New Roman" w:cs="Times New Roman"/>
        </w:rPr>
      </w:pPr>
      <w:r w:rsidRPr="00B27425">
        <w:rPr>
          <w:rFonts w:ascii="Times New Roman" w:hAnsi="Times New Roman" w:cs="Times New Roman"/>
          <w:bCs/>
        </w:rPr>
        <w:t xml:space="preserve">A-B-AB-D(VI-) BTA </w:t>
      </w:r>
    </w:p>
    <w:p w:rsidR="00B27425" w:rsidRPr="00B27425" w:rsidRDefault="00B27425" w:rsidP="00B27425">
      <w:pPr>
        <w:pStyle w:val="Default"/>
        <w:jc w:val="both"/>
        <w:rPr>
          <w:rFonts w:ascii="Times New Roman" w:hAnsi="Times New Roman" w:cs="Times New Roman"/>
          <w:bCs/>
        </w:rPr>
      </w:pPr>
      <w:r w:rsidRPr="00B27425">
        <w:rPr>
          <w:rFonts w:ascii="Times New Roman" w:hAnsi="Times New Roman" w:cs="Times New Roman"/>
          <w:bCs/>
        </w:rPr>
        <w:t xml:space="preserve">2.2. Potwierdza się kartą z pozycji nr 6 </w:t>
      </w:r>
    </w:p>
    <w:p w:rsidR="00B27425" w:rsidRPr="00B27425" w:rsidRDefault="00B27425" w:rsidP="00B27425">
      <w:pPr>
        <w:pStyle w:val="Default"/>
        <w:jc w:val="both"/>
        <w:rPr>
          <w:rFonts w:ascii="Times New Roman" w:hAnsi="Times New Roman" w:cs="Times New Roman"/>
        </w:rPr>
      </w:pPr>
      <w:r w:rsidRPr="00B27425">
        <w:rPr>
          <w:rFonts w:ascii="Times New Roman" w:hAnsi="Times New Roman" w:cs="Times New Roman"/>
        </w:rPr>
        <w:t xml:space="preserve">Zamawiający w pozycji nr 1 oraz nr 2 wymaga kart z dwoma (2) odczynnikami anty-D co jest niezgodne z wymaganiami </w:t>
      </w:r>
      <w:proofErr w:type="spellStart"/>
      <w:r w:rsidRPr="00B27425">
        <w:rPr>
          <w:rFonts w:ascii="Times New Roman" w:hAnsi="Times New Roman" w:cs="Times New Roman"/>
        </w:rPr>
        <w:t>IHiT</w:t>
      </w:r>
      <w:proofErr w:type="spellEnd"/>
      <w:r w:rsidRPr="00B27425">
        <w:rPr>
          <w:rFonts w:ascii="Times New Roman" w:hAnsi="Times New Roman" w:cs="Times New Roman"/>
        </w:rPr>
        <w:t xml:space="preserve"> i Ministerstwa Zdrowia. Opis konfiguracji kart jest charakterystyczny dla określonej marki </w:t>
      </w:r>
      <w:proofErr w:type="spellStart"/>
      <w:r w:rsidRPr="00B27425">
        <w:rPr>
          <w:rFonts w:ascii="Times New Roman" w:hAnsi="Times New Roman" w:cs="Times New Roman"/>
        </w:rPr>
        <w:t>DiaMed</w:t>
      </w:r>
      <w:proofErr w:type="spellEnd"/>
      <w:r w:rsidRPr="00B27425">
        <w:rPr>
          <w:rFonts w:ascii="Times New Roman" w:hAnsi="Times New Roman" w:cs="Times New Roman"/>
        </w:rPr>
        <w:t xml:space="preserve">. Dodatkowo wymaga się, aby odczynniki były dostępne na 1 karcie (zmiana </w:t>
      </w:r>
      <w:proofErr w:type="spellStart"/>
      <w:r w:rsidRPr="00B27425">
        <w:rPr>
          <w:rFonts w:ascii="Times New Roman" w:hAnsi="Times New Roman" w:cs="Times New Roman"/>
        </w:rPr>
        <w:t>siwz</w:t>
      </w:r>
      <w:proofErr w:type="spellEnd"/>
      <w:r w:rsidRPr="00B27425">
        <w:rPr>
          <w:rFonts w:ascii="Times New Roman" w:hAnsi="Times New Roman" w:cs="Times New Roman"/>
        </w:rPr>
        <w:t>), co jest bardzo korzystne dla wymienionego wykonawcy, bowiem gwarantuje, że nikt inny nie złoży oferty w grupie nr 1.</w:t>
      </w:r>
    </w:p>
    <w:p w:rsidR="00B27425" w:rsidRPr="00B27425" w:rsidRDefault="00B27425" w:rsidP="00B27425">
      <w:pPr>
        <w:pStyle w:val="Default"/>
        <w:jc w:val="both"/>
        <w:rPr>
          <w:rFonts w:ascii="Times New Roman" w:hAnsi="Times New Roman" w:cs="Times New Roman"/>
        </w:rPr>
      </w:pPr>
      <w:r w:rsidRPr="00B27425">
        <w:rPr>
          <w:rFonts w:ascii="Times New Roman" w:hAnsi="Times New Roman" w:cs="Times New Roman"/>
        </w:rPr>
        <w:t xml:space="preserve">Zatem opisano przedmiot zamówienia z użyciem, nazw własnych, cech marki i pochodzenia. Z niewiadomych przyczyn wymaga się kart tylko 6 kolumnowych, o określonych </w:t>
      </w:r>
      <w:r w:rsidRPr="00B27425">
        <w:rPr>
          <w:rFonts w:ascii="Times New Roman" w:hAnsi="Times New Roman" w:cs="Times New Roman"/>
        </w:rPr>
        <w:lastRenderedPageBreak/>
        <w:t xml:space="preserve">konfiguracjach, pomimo, że istnieją inne rozwiązania technologiczne stosowane w Europie. W połączeniu z wymaganiem wirówko-czytnika dostępnego tylko w 1 firmie należy wskazać ,że postępowanie jest w sposób celowy dedykowane jednemu wykonawcy spoza granic UE . </w:t>
      </w:r>
    </w:p>
    <w:p w:rsidR="00B27425" w:rsidRPr="00B27425" w:rsidRDefault="00B27425" w:rsidP="00B27425">
      <w:pPr>
        <w:pStyle w:val="Default"/>
        <w:jc w:val="both"/>
        <w:rPr>
          <w:rFonts w:ascii="Times New Roman" w:hAnsi="Times New Roman" w:cs="Times New Roman"/>
        </w:rPr>
      </w:pPr>
      <w:r w:rsidRPr="00B27425">
        <w:rPr>
          <w:rFonts w:ascii="Times New Roman" w:hAnsi="Times New Roman" w:cs="Times New Roman"/>
          <w:bCs/>
        </w:rPr>
        <w:t xml:space="preserve">Zgodnie z uchwałą Krajowej Izby Odwoławczej z dnia 22 lutego 2011 r. KIO/KD 12/11 : </w:t>
      </w:r>
    </w:p>
    <w:p w:rsidR="00B27425" w:rsidRPr="00B27425" w:rsidRDefault="00B27425" w:rsidP="00B27425">
      <w:pPr>
        <w:pStyle w:val="Default"/>
        <w:jc w:val="both"/>
        <w:rPr>
          <w:rFonts w:ascii="Times New Roman" w:hAnsi="Times New Roman" w:cs="Times New Roman"/>
        </w:rPr>
      </w:pPr>
      <w:r w:rsidRPr="00B27425">
        <w:rPr>
          <w:rFonts w:ascii="Times New Roman" w:hAnsi="Times New Roman" w:cs="Times New Roman"/>
          <w:i/>
          <w:iCs/>
        </w:rPr>
        <w:t xml:space="preserve">„Przedmiotu zamówienia nie można opisywać w sposób, który mógłby utrudniać uczciwą konkurencję. W tym zakresie nie jest konieczne wykazanie, iż </w:t>
      </w:r>
      <w:r w:rsidRPr="00B27425">
        <w:rPr>
          <w:rFonts w:ascii="Times New Roman" w:hAnsi="Times New Roman" w:cs="Times New Roman"/>
          <w:bCs/>
          <w:i/>
          <w:iCs/>
        </w:rPr>
        <w:t xml:space="preserve">sporządzenie opisu przedmiotu zamówienia w sposób wskazujący na konkretny produkt prowadzi do naruszenia uczciwej konkurencji, </w:t>
      </w:r>
      <w:r w:rsidRPr="00B27425">
        <w:rPr>
          <w:rFonts w:ascii="Times New Roman" w:hAnsi="Times New Roman" w:cs="Times New Roman"/>
          <w:i/>
          <w:iCs/>
        </w:rPr>
        <w:t xml:space="preserve">lecz konieczne jest wykazanie, iż opis przedmiotu zamówienia </w:t>
      </w:r>
      <w:r w:rsidRPr="00B27425">
        <w:rPr>
          <w:rFonts w:ascii="Times New Roman" w:hAnsi="Times New Roman" w:cs="Times New Roman"/>
          <w:bCs/>
          <w:i/>
          <w:iCs/>
        </w:rPr>
        <w:t>uniemożliwia w sposób bezsprzeczny zaoferowanie większej liczby produktów lub równoważnych rozwiązań technologicznych</w:t>
      </w:r>
      <w:r w:rsidRPr="00B27425">
        <w:rPr>
          <w:rFonts w:ascii="Times New Roman" w:hAnsi="Times New Roman" w:cs="Times New Roman"/>
          <w:i/>
          <w:iCs/>
        </w:rPr>
        <w:t>. Analiza normy prawnej wyrażonej w art. 29 ust. 2 ustawy z dnia 29 stycznia 2004 r. - Prawo zamówień publicznych (</w:t>
      </w:r>
      <w:proofErr w:type="spellStart"/>
      <w:r w:rsidRPr="00B27425">
        <w:rPr>
          <w:rFonts w:ascii="Times New Roman" w:hAnsi="Times New Roman" w:cs="Times New Roman"/>
          <w:i/>
          <w:iCs/>
        </w:rPr>
        <w:t>t.j</w:t>
      </w:r>
      <w:proofErr w:type="spellEnd"/>
      <w:r w:rsidRPr="00B27425">
        <w:rPr>
          <w:rFonts w:ascii="Times New Roman" w:hAnsi="Times New Roman" w:cs="Times New Roman"/>
          <w:i/>
          <w:iCs/>
        </w:rPr>
        <w:t xml:space="preserve">. Dz.U. z 2010 r. Nr 113, poz. 759 ze zm.) wskazuje, iż aby doszło do złamania określonego w art. 29 ust. 2 ustawy zakazu sposób i treść merytoryczna opisu przedmiotu zamówienia musi być sformułowana w ten sposób, iż przy określonych realiach rynkowych i gospodarczych, tj. w określonej sytuacji rynkowej, dochodzi do faktycznego monopolu jednego wykonawcy, producenta, dystrybutora (monopolu podmiotowego) lub monopolu jednego określonego rodzaju produktu (monopolu przedmiotowego) (…) Samo uprawdopodobnienie, iż dokonanie opisu przedmiotu zamówienia może utrudniać uczciwą konkurencję wskazuje, że doszło do naruszenia zakazu zawartego w art. 29 ust. 2 ustawy Prawo zamówień publicznych” </w:t>
      </w:r>
    </w:p>
    <w:p w:rsidR="00B27425" w:rsidRPr="00B27425" w:rsidRDefault="00B27425" w:rsidP="00B27425">
      <w:pPr>
        <w:pStyle w:val="Default"/>
        <w:jc w:val="both"/>
        <w:rPr>
          <w:rFonts w:ascii="Times New Roman" w:hAnsi="Times New Roman" w:cs="Times New Roman"/>
          <w:i/>
          <w:iCs/>
        </w:rPr>
      </w:pPr>
      <w:r w:rsidRPr="00B27425">
        <w:rPr>
          <w:rFonts w:ascii="Times New Roman" w:hAnsi="Times New Roman" w:cs="Times New Roman"/>
          <w:i/>
          <w:iCs/>
        </w:rPr>
        <w:t>Należy również podkreślić, że jako formę dyskryminacji pośredniej przyjmuje się również ustalanie wymagań na tyle rygorystycznych, że nie jest to uzasadnione potrzebami zamawiającego, a jednocześnie ograniczają krąg wykonawców zdolnych do wykonania zamówienia do jednego wykonawcy lub ogranicza krąg wykonawców do podmiotów mogących zaoferować urządzenia tylko jednego producenta (tak: Wyrok Krajowej Izby Odwoławczej z dnia 6 maja 2010 r. KIO 634/10).</w:t>
      </w:r>
    </w:p>
    <w:p w:rsidR="00B27425" w:rsidRDefault="00B27425" w:rsidP="00B27425">
      <w:pPr>
        <w:pStyle w:val="Default"/>
        <w:jc w:val="both"/>
        <w:rPr>
          <w:b/>
          <w:bCs/>
          <w:sz w:val="22"/>
          <w:szCs w:val="22"/>
        </w:rPr>
      </w:pPr>
    </w:p>
    <w:p w:rsidR="00B27425" w:rsidRPr="00CF06E7" w:rsidRDefault="00B27425" w:rsidP="00B27425">
      <w:pPr>
        <w:spacing w:after="0" w:line="240" w:lineRule="auto"/>
        <w:jc w:val="both"/>
        <w:rPr>
          <w:rFonts w:ascii="Times New Roman" w:eastAsia="Times New Roman" w:hAnsi="Times New Roman" w:cs="Times New Roman"/>
          <w:sz w:val="24"/>
          <w:szCs w:val="24"/>
          <w:lang w:eastAsia="pl-PL"/>
        </w:rPr>
      </w:pPr>
      <w:r w:rsidRPr="00B27425">
        <w:rPr>
          <w:rFonts w:ascii="Times New Roman" w:hAnsi="Times New Roman" w:cs="Times New Roman"/>
          <w:b/>
          <w:bCs/>
          <w:sz w:val="24"/>
          <w:szCs w:val="24"/>
        </w:rPr>
        <w:t xml:space="preserve">Odp. </w:t>
      </w:r>
      <w:r w:rsidRPr="001A0F5D">
        <w:rPr>
          <w:rFonts w:ascii="Times New Roman" w:eastAsia="Times New Roman" w:hAnsi="Times New Roman" w:cs="Times New Roman"/>
          <w:sz w:val="24"/>
          <w:szCs w:val="24"/>
          <w:lang w:eastAsia="pl-PL"/>
        </w:rPr>
        <w:t>Ww. nie stanowią zapytań</w:t>
      </w:r>
      <w:r w:rsidRPr="001A0F5D">
        <w:rPr>
          <w:rFonts w:ascii="Times New Roman" w:eastAsia="Times New Roman" w:hAnsi="Times New Roman" w:cs="Times New Roman"/>
          <w:sz w:val="24"/>
          <w:szCs w:val="24"/>
          <w:lang w:eastAsia="pl-PL"/>
        </w:rPr>
        <w:t>, o których mowa w art. 38 ustawy z dnia 29 stycznia 2004 r. Prawo zamówień publicznych</w:t>
      </w:r>
      <w:r w:rsidRPr="00CF06E7">
        <w:rPr>
          <w:rFonts w:ascii="Times New Roman" w:eastAsia="Times New Roman" w:hAnsi="Times New Roman" w:cs="Times New Roman"/>
          <w:sz w:val="24"/>
          <w:szCs w:val="24"/>
          <w:lang w:eastAsia="pl-PL"/>
        </w:rPr>
        <w:t>. Przedstawione wnioski s</w:t>
      </w:r>
      <w:r w:rsidRPr="001A0F5D">
        <w:rPr>
          <w:rFonts w:ascii="Times New Roman" w:eastAsia="Times New Roman" w:hAnsi="Times New Roman" w:cs="Times New Roman"/>
          <w:sz w:val="24"/>
          <w:szCs w:val="24"/>
          <w:lang w:eastAsia="pl-PL"/>
        </w:rPr>
        <w:t>ą</w:t>
      </w:r>
      <w:r w:rsidRPr="00CF06E7">
        <w:rPr>
          <w:rFonts w:ascii="Times New Roman" w:eastAsia="Times New Roman" w:hAnsi="Times New Roman" w:cs="Times New Roman"/>
          <w:sz w:val="24"/>
          <w:szCs w:val="24"/>
          <w:lang w:eastAsia="pl-PL"/>
        </w:rPr>
        <w:t xml:space="preserve"> próbą włącz</w:t>
      </w:r>
      <w:bookmarkStart w:id="0" w:name="_GoBack"/>
      <w:bookmarkEnd w:id="0"/>
      <w:r w:rsidRPr="00CF06E7">
        <w:rPr>
          <w:rFonts w:ascii="Times New Roman" w:eastAsia="Times New Roman" w:hAnsi="Times New Roman" w:cs="Times New Roman"/>
          <w:sz w:val="24"/>
          <w:szCs w:val="24"/>
          <w:lang w:eastAsia="pl-PL"/>
        </w:rPr>
        <w:t>enia do postępowania własnego, zindywidualizowanego opisu przedmiotu zamówienia. Zamawiający</w:t>
      </w:r>
      <w:r w:rsidRPr="001A0F5D">
        <w:rPr>
          <w:rFonts w:ascii="Times New Roman" w:eastAsia="Times New Roman" w:hAnsi="Times New Roman" w:cs="Times New Roman"/>
          <w:sz w:val="24"/>
          <w:szCs w:val="24"/>
          <w:lang w:eastAsia="pl-PL"/>
        </w:rPr>
        <w:t xml:space="preserve"> </w:t>
      </w:r>
      <w:r w:rsidRPr="00CF06E7">
        <w:rPr>
          <w:rFonts w:ascii="Times New Roman" w:eastAsia="Times New Roman" w:hAnsi="Times New Roman" w:cs="Times New Roman"/>
          <w:sz w:val="24"/>
          <w:szCs w:val="24"/>
          <w:lang w:eastAsia="pl-PL"/>
        </w:rPr>
        <w:t>zgodnie z przepisami ustawy</w:t>
      </w:r>
      <w:r w:rsidRPr="001A0F5D">
        <w:rPr>
          <w:rFonts w:ascii="Times New Roman" w:eastAsia="Times New Roman" w:hAnsi="Times New Roman" w:cs="Times New Roman"/>
          <w:sz w:val="24"/>
          <w:szCs w:val="24"/>
          <w:lang w:eastAsia="pl-PL"/>
        </w:rPr>
        <w:t>,</w:t>
      </w:r>
      <w:r w:rsidRPr="00CF06E7">
        <w:rPr>
          <w:rFonts w:ascii="Times New Roman" w:eastAsia="Times New Roman" w:hAnsi="Times New Roman" w:cs="Times New Roman"/>
          <w:sz w:val="24"/>
          <w:szCs w:val="24"/>
          <w:lang w:eastAsia="pl-PL"/>
        </w:rPr>
        <w:t xml:space="preserve"> w sposób precyzyjny opisał przedmiot zamówienia, określając wyraźnie swoje potrzeby w zakresie oczekiwanych funkcji użytkowych przedmiotu dostawy. Zamawiający ma prawo kształtować swoje potrzeby zgodnie ze specyfiką przedmiotu zamówienia</w:t>
      </w:r>
      <w:r w:rsidRPr="001A0F5D">
        <w:rPr>
          <w:rFonts w:ascii="Times New Roman" w:eastAsia="Times New Roman" w:hAnsi="Times New Roman" w:cs="Times New Roman"/>
          <w:sz w:val="24"/>
          <w:szCs w:val="24"/>
          <w:lang w:eastAsia="pl-PL"/>
        </w:rPr>
        <w:t xml:space="preserve"> </w:t>
      </w:r>
      <w:r w:rsidRPr="00CF06E7">
        <w:rPr>
          <w:rFonts w:ascii="Times New Roman" w:eastAsia="Times New Roman" w:hAnsi="Times New Roman" w:cs="Times New Roman"/>
          <w:sz w:val="24"/>
          <w:szCs w:val="24"/>
          <w:lang w:eastAsia="pl-PL"/>
        </w:rPr>
        <w:t xml:space="preserve">i dostępną wiedzą. Art. 38 ustawy </w:t>
      </w:r>
      <w:proofErr w:type="spellStart"/>
      <w:r w:rsidRPr="00CF06E7">
        <w:rPr>
          <w:rFonts w:ascii="Times New Roman" w:eastAsia="Times New Roman" w:hAnsi="Times New Roman" w:cs="Times New Roman"/>
          <w:sz w:val="24"/>
          <w:szCs w:val="24"/>
          <w:lang w:eastAsia="pl-PL"/>
        </w:rPr>
        <w:t>Pzp</w:t>
      </w:r>
      <w:proofErr w:type="spellEnd"/>
      <w:r w:rsidRPr="00CF06E7">
        <w:rPr>
          <w:rFonts w:ascii="Times New Roman" w:eastAsia="Times New Roman" w:hAnsi="Times New Roman" w:cs="Times New Roman"/>
          <w:sz w:val="24"/>
          <w:szCs w:val="24"/>
          <w:lang w:eastAsia="pl-PL"/>
        </w:rPr>
        <w:t xml:space="preserve"> służy instytucji wyjaśnienia treści SIWZ, a nie zmianie opisu przedmiotu zamówienia. Zapytania do SIWZ mają na celu doprecyzowanie lub uszczegółowienie wymagań zamawiającego zawartych w SIWZ.</w:t>
      </w:r>
    </w:p>
    <w:p w:rsidR="00B27425" w:rsidRDefault="00B27425" w:rsidP="00B27425">
      <w:pPr>
        <w:pStyle w:val="Default"/>
        <w:jc w:val="both"/>
        <w:rPr>
          <w:b/>
          <w:bCs/>
          <w:sz w:val="22"/>
          <w:szCs w:val="22"/>
        </w:rPr>
      </w:pPr>
    </w:p>
    <w:sectPr w:rsidR="00B27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E7"/>
    <w:rsid w:val="00002EB5"/>
    <w:rsid w:val="00051410"/>
    <w:rsid w:val="00132C84"/>
    <w:rsid w:val="001A0F5D"/>
    <w:rsid w:val="002E616A"/>
    <w:rsid w:val="0096412F"/>
    <w:rsid w:val="00B27425"/>
    <w:rsid w:val="00C37715"/>
    <w:rsid w:val="00CF044F"/>
    <w:rsid w:val="00CF06E7"/>
    <w:rsid w:val="00D5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410"/>
  </w:style>
  <w:style w:type="paragraph" w:styleId="Nagwek1">
    <w:name w:val="heading 1"/>
    <w:basedOn w:val="Normalny"/>
    <w:link w:val="Nagwek1Znak"/>
    <w:uiPriority w:val="9"/>
    <w:qFormat/>
    <w:rsid w:val="00C37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semiHidden/>
    <w:unhideWhenUsed/>
    <w:qFormat/>
    <w:rsid w:val="00C377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7715"/>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C37715"/>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CF06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CF06E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410"/>
  </w:style>
  <w:style w:type="paragraph" w:styleId="Nagwek1">
    <w:name w:val="heading 1"/>
    <w:basedOn w:val="Normalny"/>
    <w:link w:val="Nagwek1Znak"/>
    <w:uiPriority w:val="9"/>
    <w:qFormat/>
    <w:rsid w:val="00C37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semiHidden/>
    <w:unhideWhenUsed/>
    <w:qFormat/>
    <w:rsid w:val="00C377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7715"/>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C37715"/>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CF06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CF06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665651">
      <w:bodyDiv w:val="1"/>
      <w:marLeft w:val="0"/>
      <w:marRight w:val="0"/>
      <w:marTop w:val="0"/>
      <w:marBottom w:val="0"/>
      <w:divBdr>
        <w:top w:val="none" w:sz="0" w:space="0" w:color="auto"/>
        <w:left w:val="none" w:sz="0" w:space="0" w:color="auto"/>
        <w:bottom w:val="none" w:sz="0" w:space="0" w:color="auto"/>
        <w:right w:val="none" w:sz="0" w:space="0" w:color="auto"/>
      </w:divBdr>
    </w:div>
    <w:div w:id="2109346650">
      <w:bodyDiv w:val="1"/>
      <w:marLeft w:val="0"/>
      <w:marRight w:val="0"/>
      <w:marTop w:val="0"/>
      <w:marBottom w:val="0"/>
      <w:divBdr>
        <w:top w:val="none" w:sz="0" w:space="0" w:color="auto"/>
        <w:left w:val="none" w:sz="0" w:space="0" w:color="auto"/>
        <w:bottom w:val="none" w:sz="0" w:space="0" w:color="auto"/>
        <w:right w:val="none" w:sz="0" w:space="0" w:color="auto"/>
      </w:divBdr>
      <w:divsChild>
        <w:div w:id="272133793">
          <w:marLeft w:val="0"/>
          <w:marRight w:val="0"/>
          <w:marTop w:val="0"/>
          <w:marBottom w:val="0"/>
          <w:divBdr>
            <w:top w:val="none" w:sz="0" w:space="0" w:color="auto"/>
            <w:left w:val="none" w:sz="0" w:space="0" w:color="auto"/>
            <w:bottom w:val="none" w:sz="0" w:space="0" w:color="auto"/>
            <w:right w:val="none" w:sz="0" w:space="0" w:color="auto"/>
          </w:divBdr>
        </w:div>
        <w:div w:id="859202564">
          <w:marLeft w:val="0"/>
          <w:marRight w:val="0"/>
          <w:marTop w:val="0"/>
          <w:marBottom w:val="0"/>
          <w:divBdr>
            <w:top w:val="none" w:sz="0" w:space="0" w:color="auto"/>
            <w:left w:val="none" w:sz="0" w:space="0" w:color="auto"/>
            <w:bottom w:val="none" w:sz="0" w:space="0" w:color="auto"/>
            <w:right w:val="none" w:sz="0" w:space="0" w:color="auto"/>
          </w:divBdr>
        </w:div>
        <w:div w:id="613638159">
          <w:marLeft w:val="0"/>
          <w:marRight w:val="0"/>
          <w:marTop w:val="0"/>
          <w:marBottom w:val="0"/>
          <w:divBdr>
            <w:top w:val="none" w:sz="0" w:space="0" w:color="auto"/>
            <w:left w:val="none" w:sz="0" w:space="0" w:color="auto"/>
            <w:bottom w:val="none" w:sz="0" w:space="0" w:color="auto"/>
            <w:right w:val="none" w:sz="0" w:space="0" w:color="auto"/>
          </w:divBdr>
        </w:div>
        <w:div w:id="1376347092">
          <w:marLeft w:val="0"/>
          <w:marRight w:val="0"/>
          <w:marTop w:val="0"/>
          <w:marBottom w:val="0"/>
          <w:divBdr>
            <w:top w:val="none" w:sz="0" w:space="0" w:color="auto"/>
            <w:left w:val="none" w:sz="0" w:space="0" w:color="auto"/>
            <w:bottom w:val="none" w:sz="0" w:space="0" w:color="auto"/>
            <w:right w:val="none" w:sz="0" w:space="0" w:color="auto"/>
          </w:divBdr>
        </w:div>
        <w:div w:id="1736471182">
          <w:marLeft w:val="0"/>
          <w:marRight w:val="0"/>
          <w:marTop w:val="0"/>
          <w:marBottom w:val="0"/>
          <w:divBdr>
            <w:top w:val="none" w:sz="0" w:space="0" w:color="auto"/>
            <w:left w:val="none" w:sz="0" w:space="0" w:color="auto"/>
            <w:bottom w:val="none" w:sz="0" w:space="0" w:color="auto"/>
            <w:right w:val="none" w:sz="0" w:space="0" w:color="auto"/>
          </w:divBdr>
        </w:div>
        <w:div w:id="124449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1217</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2020-06-05T12:07:00Z</dcterms:created>
  <dcterms:modified xsi:type="dcterms:W3CDTF">2020-06-05T12:28:00Z</dcterms:modified>
</cp:coreProperties>
</file>