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7C" w:rsidRDefault="001F787C" w:rsidP="001F787C">
      <w:pPr>
        <w:jc w:val="center"/>
      </w:pPr>
      <w:r w:rsidRPr="00294438">
        <w:rPr>
          <w:noProof/>
        </w:rPr>
        <w:drawing>
          <wp:inline distT="0" distB="0" distL="0" distR="0">
            <wp:extent cx="5762625" cy="504825"/>
            <wp:effectExtent l="0" t="0" r="9525" b="9525"/>
            <wp:docPr id="10" name="Obraz 10" descr="\\nasrpo\DRRIV\2018\Wizualizacja 2014-2020\CMYK\EF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nasrpo\DRRIV\2018\Wizualizacja 2014-2020\CMYK\EFSI.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504825"/>
                    </a:xfrm>
                    <a:prstGeom prst="rect">
                      <a:avLst/>
                    </a:prstGeom>
                    <a:noFill/>
                    <a:ln>
                      <a:noFill/>
                    </a:ln>
                  </pic:spPr>
                </pic:pic>
              </a:graphicData>
            </a:graphic>
          </wp:inline>
        </w:drawing>
      </w:r>
    </w:p>
    <w:p w:rsidR="001F787C" w:rsidRDefault="001F787C" w:rsidP="001F787C">
      <w:pPr>
        <w:pStyle w:val="Akapitzlist"/>
        <w:jc w:val="center"/>
        <w:rPr>
          <w:sz w:val="18"/>
          <w:szCs w:val="18"/>
        </w:rPr>
      </w:pPr>
      <w:r w:rsidRPr="00B37756">
        <w:rPr>
          <w:sz w:val="18"/>
          <w:szCs w:val="18"/>
        </w:rPr>
        <w:t>Projekt współfinansowany ze środków Europejskiego Funduszu Społecznego w ramach Pomocy Technicznej Regionalnego Programu Operacyjnego Województwa Podlaskiego na lata 2014-2020</w:t>
      </w:r>
    </w:p>
    <w:p w:rsidR="001F787C" w:rsidRDefault="001F787C" w:rsidP="001F787C"/>
    <w:p w:rsidR="001F787C" w:rsidRDefault="0020177E" w:rsidP="001F787C">
      <w:pPr>
        <w:jc w:val="center"/>
      </w:pPr>
      <w:r w:rsidRPr="0020177E">
        <w:rPr>
          <w:rFonts w:ascii="Arial" w:hAnsi="Arial" w:cs="Arial"/>
          <w:noProof/>
          <w:color w:val="40404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6.25pt;visibility:visible">
            <v:imagedata r:id="rId8" r:href="rId9"/>
          </v:shape>
        </w:pict>
      </w:r>
    </w:p>
    <w:p w:rsidR="001F787C" w:rsidRPr="005E3460" w:rsidRDefault="001F787C" w:rsidP="001F787C">
      <w:pPr>
        <w:pStyle w:val="Akapitzlist"/>
        <w:jc w:val="center"/>
        <w:rPr>
          <w:sz w:val="18"/>
          <w:szCs w:val="18"/>
        </w:rPr>
      </w:pPr>
      <w:r w:rsidRPr="005E3460">
        <w:rPr>
          <w:sz w:val="18"/>
          <w:szCs w:val="18"/>
        </w:rPr>
        <w:t>Projekt współf</w:t>
      </w:r>
      <w:r>
        <w:rPr>
          <w:sz w:val="18"/>
          <w:szCs w:val="18"/>
        </w:rPr>
        <w:t xml:space="preserve">inansowany z </w:t>
      </w:r>
      <w:proofErr w:type="spellStart"/>
      <w:r>
        <w:rPr>
          <w:sz w:val="18"/>
          <w:szCs w:val="18"/>
        </w:rPr>
        <w:t>Programu</w:t>
      </w:r>
      <w:r w:rsidRPr="005E3460">
        <w:rPr>
          <w:sz w:val="18"/>
          <w:szCs w:val="18"/>
        </w:rPr>
        <w:t>Interreg</w:t>
      </w:r>
      <w:proofErr w:type="spellEnd"/>
      <w:r w:rsidRPr="005E3460">
        <w:rPr>
          <w:sz w:val="18"/>
          <w:szCs w:val="18"/>
        </w:rPr>
        <w:t xml:space="preserve"> V-A Litwa-Polska, współfinan</w:t>
      </w:r>
      <w:r>
        <w:rPr>
          <w:sz w:val="18"/>
          <w:szCs w:val="18"/>
        </w:rPr>
        <w:t xml:space="preserve">sowany ze środków Europejskiego </w:t>
      </w:r>
      <w:r w:rsidRPr="005E3460">
        <w:rPr>
          <w:sz w:val="18"/>
          <w:szCs w:val="18"/>
        </w:rPr>
        <w:t xml:space="preserve">Funduszu Rozwoju Regionalnego w ramach Osi Priorytetowej V – Pomoc Techniczna, Budżetu Państwa </w:t>
      </w:r>
      <w:r>
        <w:rPr>
          <w:sz w:val="18"/>
          <w:szCs w:val="18"/>
        </w:rPr>
        <w:br/>
      </w:r>
      <w:r w:rsidRPr="005E3460">
        <w:rPr>
          <w:sz w:val="18"/>
          <w:szCs w:val="18"/>
        </w:rPr>
        <w:t>oraz Budżetu Samorządu Województwa Podlaskiego</w:t>
      </w:r>
    </w:p>
    <w:p w:rsidR="001F787C" w:rsidRPr="00EC3673" w:rsidRDefault="001F787C" w:rsidP="001F787C">
      <w:pPr>
        <w:tabs>
          <w:tab w:val="left" w:pos="708"/>
        </w:tabs>
        <w:spacing w:line="100" w:lineRule="atLeast"/>
        <w:rPr>
          <w:rFonts w:eastAsia="Calibri"/>
          <w:lang w:bidi="hi-IN"/>
        </w:rPr>
      </w:pPr>
    </w:p>
    <w:p w:rsidR="001F787C" w:rsidRPr="00B979C9" w:rsidRDefault="001F787C" w:rsidP="001F787C">
      <w:pPr>
        <w:tabs>
          <w:tab w:val="left" w:pos="708"/>
        </w:tabs>
        <w:spacing w:line="100" w:lineRule="atLeast"/>
        <w:rPr>
          <w:noProof/>
        </w:rPr>
      </w:pPr>
      <w:r>
        <w:rPr>
          <w:noProof/>
        </w:rPr>
        <w:drawing>
          <wp:anchor distT="0" distB="0" distL="114300" distR="114300" simplePos="0" relativeHeight="251659264" behindDoc="0" locked="0" layoutInCell="1" allowOverlap="1">
            <wp:simplePos x="0" y="0"/>
            <wp:positionH relativeFrom="column">
              <wp:posOffset>2337435</wp:posOffset>
            </wp:positionH>
            <wp:positionV relativeFrom="paragraph">
              <wp:posOffset>18415</wp:posOffset>
            </wp:positionV>
            <wp:extent cx="839470" cy="419735"/>
            <wp:effectExtent l="0" t="0" r="0" b="0"/>
            <wp:wrapNone/>
            <wp:docPr id="11" name="Obraz 11" descr="logo podstawowe bez clai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odstawowe bez claimu"/>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9470" cy="419735"/>
                    </a:xfrm>
                    <a:prstGeom prst="rect">
                      <a:avLst/>
                    </a:prstGeom>
                    <a:noFill/>
                    <a:ln>
                      <a:noFill/>
                    </a:ln>
                  </pic:spPr>
                </pic:pic>
              </a:graphicData>
            </a:graphic>
          </wp:anchor>
        </w:drawing>
      </w:r>
      <w:r w:rsidRPr="005270F1">
        <w:rPr>
          <w:noProof/>
        </w:rPr>
        <w:drawing>
          <wp:inline distT="0" distB="0" distL="0" distR="0">
            <wp:extent cx="571500" cy="381000"/>
            <wp:effectExtent l="0" t="0" r="0" b="0"/>
            <wp:docPr id="9" name="Obraz 9" descr="\\dysk05\Pomoc_techniczna\a P R O M O C J A (odzysk!!!)\a P R O M O C J A\Księgi wizualizacji\Symbol UE (jpg)\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ysk05\Pomoc_techniczna\a P R O M O C J A (odzysk!!!)\a P R O M O C J A\Księgi wizualizacji\Symbol UE (jpg)\flag_yellow_low.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381000"/>
                    </a:xfrm>
                    <a:prstGeom prst="rect">
                      <a:avLst/>
                    </a:prstGeom>
                    <a:noFill/>
                    <a:ln>
                      <a:noFill/>
                    </a:ln>
                  </pic:spPr>
                </pic:pic>
              </a:graphicData>
            </a:graphic>
          </wp:inline>
        </w:drawing>
      </w:r>
      <w:r w:rsidRPr="005270F1">
        <w:rPr>
          <w:noProof/>
        </w:rPr>
        <w:drawing>
          <wp:inline distT="0" distB="0" distL="0" distR="0">
            <wp:extent cx="762000" cy="495300"/>
            <wp:effectExtent l="0" t="0" r="0" b="0"/>
            <wp:docPr id="8" name="Obraz 8" descr="\\dysk05\Pomoc_techniczna\a P R O M O C J A (odzysk!!!)\a P R O M O C J A\Księgi wizualizacji\logo PROW kolo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dysk05\Pomoc_techniczna\a P R O M O C J A (odzysk!!!)\a P R O M O C J A\Księgi wizualizacji\logo PROW kolor\PROW-2014-2020-logo-kolor.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95300"/>
                    </a:xfrm>
                    <a:prstGeom prst="rect">
                      <a:avLst/>
                    </a:prstGeom>
                    <a:noFill/>
                    <a:ln>
                      <a:noFill/>
                    </a:ln>
                  </pic:spPr>
                </pic:pic>
              </a:graphicData>
            </a:graphic>
          </wp:inline>
        </w:drawing>
      </w:r>
    </w:p>
    <w:p w:rsidR="001F787C" w:rsidRDefault="001F787C" w:rsidP="001F787C">
      <w:pPr>
        <w:jc w:val="center"/>
      </w:pPr>
      <w:r w:rsidRPr="00C77CE7">
        <w:rPr>
          <w:sz w:val="18"/>
          <w:szCs w:val="18"/>
        </w:rPr>
        <w:t>Europejski Fundusz Rolny na rzecz Rozwoju Obszarów Wiejskich: Europa</w:t>
      </w:r>
      <w:r>
        <w:rPr>
          <w:sz w:val="18"/>
          <w:szCs w:val="18"/>
        </w:rPr>
        <w:t xml:space="preserve"> inwestująca w obszary wiejskie</w:t>
      </w:r>
    </w:p>
    <w:p w:rsidR="001F787C" w:rsidRDefault="001F787C" w:rsidP="001F787C">
      <w:pPr>
        <w:jc w:val="center"/>
      </w:pPr>
    </w:p>
    <w:p w:rsidR="001F787C" w:rsidRDefault="001F787C" w:rsidP="001F787C"/>
    <w:p w:rsidR="00EF0410" w:rsidRPr="005776DF" w:rsidRDefault="005776DF" w:rsidP="005776DF">
      <w:pPr>
        <w:tabs>
          <w:tab w:val="left" w:pos="5387"/>
        </w:tabs>
        <w:spacing w:line="276" w:lineRule="auto"/>
        <w:ind w:left="985" w:firstLine="5387"/>
        <w:jc w:val="both"/>
        <w:rPr>
          <w:rFonts w:ascii="Palatino Linotype" w:hAnsi="Palatino Linotype"/>
          <w:b/>
          <w:i/>
          <w:sz w:val="22"/>
          <w:szCs w:val="22"/>
        </w:rPr>
      </w:pPr>
      <w:r w:rsidRPr="005776DF">
        <w:rPr>
          <w:rFonts w:ascii="Palatino Linotype" w:hAnsi="Palatino Linotype"/>
          <w:b/>
          <w:i/>
          <w:sz w:val="22"/>
          <w:szCs w:val="22"/>
        </w:rPr>
        <w:t>Załącznik nr 1 do SIWZ</w:t>
      </w:r>
    </w:p>
    <w:p w:rsidR="005776DF" w:rsidRDefault="00E33DBF" w:rsidP="00055D0C">
      <w:pPr>
        <w:tabs>
          <w:tab w:val="left" w:pos="5387"/>
        </w:tabs>
        <w:spacing w:line="276" w:lineRule="auto"/>
        <w:jc w:val="both"/>
        <w:rPr>
          <w:rFonts w:ascii="Palatino Linotype" w:hAnsi="Palatino Linotype"/>
          <w:sz w:val="22"/>
          <w:szCs w:val="22"/>
        </w:rPr>
      </w:pPr>
      <w:r w:rsidRPr="00B167E0">
        <w:rPr>
          <w:rFonts w:ascii="Palatino Linotype" w:hAnsi="Palatino Linotype"/>
          <w:sz w:val="22"/>
          <w:szCs w:val="22"/>
        </w:rPr>
        <w:tab/>
      </w:r>
    </w:p>
    <w:p w:rsidR="00F10F67" w:rsidRPr="00B167E0" w:rsidRDefault="00A5556B" w:rsidP="00055D0C">
      <w:pPr>
        <w:tabs>
          <w:tab w:val="left" w:pos="5387"/>
        </w:tabs>
        <w:spacing w:line="276" w:lineRule="auto"/>
        <w:jc w:val="both"/>
        <w:rPr>
          <w:rFonts w:ascii="Palatino Linotype" w:hAnsi="Palatino Linotype"/>
          <w:sz w:val="22"/>
          <w:szCs w:val="22"/>
        </w:rPr>
      </w:pPr>
      <w:r w:rsidRPr="00B167E0">
        <w:rPr>
          <w:rFonts w:ascii="Palatino Linotype" w:hAnsi="Palatino Linotype"/>
          <w:sz w:val="22"/>
          <w:szCs w:val="22"/>
        </w:rPr>
        <w:t xml:space="preserve">Białystok, dnia </w:t>
      </w:r>
      <w:r w:rsidR="00B167E0" w:rsidRPr="00B167E0">
        <w:rPr>
          <w:rFonts w:ascii="Palatino Linotype" w:hAnsi="Palatino Linotype"/>
          <w:sz w:val="22"/>
          <w:szCs w:val="22"/>
        </w:rPr>
        <w:t>grudnia</w:t>
      </w:r>
      <w:r w:rsidR="00F10F67" w:rsidRPr="00B167E0">
        <w:rPr>
          <w:rFonts w:ascii="Palatino Linotype" w:hAnsi="Palatino Linotype"/>
          <w:sz w:val="22"/>
          <w:szCs w:val="22"/>
        </w:rPr>
        <w:t xml:space="preserve"> 201</w:t>
      </w:r>
      <w:r w:rsidR="00B167E0" w:rsidRPr="00B167E0">
        <w:rPr>
          <w:rFonts w:ascii="Palatino Linotype" w:hAnsi="Palatino Linotype"/>
          <w:sz w:val="22"/>
          <w:szCs w:val="22"/>
        </w:rPr>
        <w:t>9</w:t>
      </w:r>
      <w:r w:rsidR="00F10F67" w:rsidRPr="00B167E0">
        <w:rPr>
          <w:rFonts w:ascii="Palatino Linotype" w:hAnsi="Palatino Linotype"/>
          <w:sz w:val="22"/>
          <w:szCs w:val="22"/>
        </w:rPr>
        <w:t xml:space="preserve"> r.</w:t>
      </w:r>
    </w:p>
    <w:p w:rsidR="00EF0410" w:rsidRDefault="00EF0410" w:rsidP="00055D0C">
      <w:pPr>
        <w:tabs>
          <w:tab w:val="left" w:pos="5387"/>
        </w:tabs>
        <w:spacing w:line="276" w:lineRule="auto"/>
        <w:jc w:val="both"/>
        <w:rPr>
          <w:rFonts w:ascii="Palatino Linotype" w:hAnsi="Palatino Linotype"/>
          <w:sz w:val="22"/>
          <w:szCs w:val="22"/>
        </w:rPr>
      </w:pPr>
    </w:p>
    <w:p w:rsidR="001F787C" w:rsidRDefault="001F787C" w:rsidP="00055D0C">
      <w:pPr>
        <w:tabs>
          <w:tab w:val="left" w:pos="5387"/>
        </w:tabs>
        <w:spacing w:line="276" w:lineRule="auto"/>
        <w:jc w:val="both"/>
        <w:rPr>
          <w:rFonts w:ascii="Palatino Linotype" w:hAnsi="Palatino Linotype"/>
          <w:sz w:val="22"/>
          <w:szCs w:val="22"/>
        </w:rPr>
      </w:pPr>
    </w:p>
    <w:p w:rsidR="005047EF" w:rsidRPr="00AC0C3B" w:rsidRDefault="00B167E0" w:rsidP="00055D0C">
      <w:pPr>
        <w:tabs>
          <w:tab w:val="left" w:pos="5387"/>
        </w:tabs>
        <w:spacing w:line="276" w:lineRule="auto"/>
        <w:jc w:val="both"/>
        <w:rPr>
          <w:rFonts w:ascii="Palatino Linotype" w:hAnsi="Palatino Linotype"/>
          <w:b/>
          <w:sz w:val="22"/>
          <w:szCs w:val="22"/>
        </w:rPr>
      </w:pPr>
      <w:r w:rsidRPr="00AC0C3B">
        <w:rPr>
          <w:rFonts w:ascii="Palatino Linotype" w:hAnsi="Palatino Linotype"/>
          <w:b/>
          <w:sz w:val="22"/>
          <w:szCs w:val="22"/>
        </w:rPr>
        <w:t>BG.2601</w:t>
      </w:r>
      <w:r w:rsidR="00C80A1B" w:rsidRPr="00AC0C3B">
        <w:rPr>
          <w:rFonts w:ascii="Palatino Linotype" w:hAnsi="Palatino Linotype"/>
          <w:b/>
          <w:sz w:val="22"/>
          <w:szCs w:val="22"/>
        </w:rPr>
        <w:t>.15.</w:t>
      </w:r>
      <w:r w:rsidRPr="00AC0C3B">
        <w:rPr>
          <w:rFonts w:ascii="Palatino Linotype" w:hAnsi="Palatino Linotype"/>
          <w:b/>
          <w:sz w:val="22"/>
          <w:szCs w:val="22"/>
        </w:rPr>
        <w:t>2019</w:t>
      </w:r>
    </w:p>
    <w:p w:rsidR="00F10F67" w:rsidRDefault="00F10F67" w:rsidP="00055D0C">
      <w:pPr>
        <w:tabs>
          <w:tab w:val="left" w:pos="5387"/>
        </w:tabs>
        <w:spacing w:line="276" w:lineRule="auto"/>
        <w:jc w:val="both"/>
        <w:rPr>
          <w:rFonts w:ascii="Palatino Linotype" w:hAnsi="Palatino Linotype"/>
          <w:sz w:val="22"/>
          <w:szCs w:val="22"/>
        </w:rPr>
      </w:pPr>
      <w:r w:rsidRPr="00B167E0">
        <w:rPr>
          <w:rFonts w:ascii="Palatino Linotype" w:hAnsi="Palatino Linotype"/>
          <w:sz w:val="22"/>
          <w:szCs w:val="22"/>
        </w:rPr>
        <w:tab/>
      </w:r>
    </w:p>
    <w:p w:rsidR="00EF0410" w:rsidRPr="00B167E0" w:rsidRDefault="00EF0410" w:rsidP="00055D0C">
      <w:pPr>
        <w:tabs>
          <w:tab w:val="left" w:pos="5387"/>
        </w:tabs>
        <w:spacing w:line="276" w:lineRule="auto"/>
        <w:jc w:val="both"/>
        <w:rPr>
          <w:rFonts w:ascii="Palatino Linotype" w:hAnsi="Palatino Linotype"/>
          <w:sz w:val="22"/>
          <w:szCs w:val="22"/>
        </w:rPr>
      </w:pPr>
    </w:p>
    <w:p w:rsidR="00615147" w:rsidRPr="00B167E0" w:rsidRDefault="00732A8F" w:rsidP="00B167E0">
      <w:pPr>
        <w:spacing w:line="276" w:lineRule="auto"/>
        <w:jc w:val="center"/>
        <w:rPr>
          <w:rFonts w:ascii="Palatino Linotype" w:hAnsi="Palatino Linotype"/>
          <w:b/>
          <w:sz w:val="22"/>
          <w:szCs w:val="22"/>
          <w:u w:val="single"/>
        </w:rPr>
      </w:pPr>
      <w:r w:rsidRPr="00B167E0">
        <w:rPr>
          <w:rFonts w:ascii="Palatino Linotype" w:hAnsi="Palatino Linotype"/>
          <w:b/>
          <w:sz w:val="22"/>
          <w:szCs w:val="22"/>
          <w:u w:val="single"/>
        </w:rPr>
        <w:t>Szczegółowy opis</w:t>
      </w:r>
      <w:r w:rsidR="00615147" w:rsidRPr="00B167E0">
        <w:rPr>
          <w:rFonts w:ascii="Palatino Linotype" w:hAnsi="Palatino Linotype"/>
          <w:b/>
          <w:sz w:val="22"/>
          <w:szCs w:val="22"/>
          <w:u w:val="single"/>
        </w:rPr>
        <w:t xml:space="preserve"> przedmiotu zamówienia</w:t>
      </w:r>
    </w:p>
    <w:p w:rsidR="00615147" w:rsidRPr="00B167E0" w:rsidRDefault="00615147" w:rsidP="00055D0C">
      <w:pPr>
        <w:spacing w:line="276" w:lineRule="auto"/>
        <w:jc w:val="both"/>
        <w:rPr>
          <w:rFonts w:ascii="Palatino Linotype" w:hAnsi="Palatino Linotype"/>
          <w:b/>
          <w:sz w:val="22"/>
          <w:szCs w:val="22"/>
        </w:rPr>
      </w:pPr>
    </w:p>
    <w:p w:rsidR="00615147" w:rsidRPr="00B167E0" w:rsidRDefault="00615147" w:rsidP="00055D0C">
      <w:pPr>
        <w:pStyle w:val="Akapitzlist"/>
        <w:numPr>
          <w:ilvl w:val="0"/>
          <w:numId w:val="6"/>
        </w:numPr>
        <w:spacing w:line="276" w:lineRule="auto"/>
        <w:jc w:val="both"/>
        <w:rPr>
          <w:rFonts w:ascii="Palatino Linotype" w:hAnsi="Palatino Linotype"/>
          <w:b/>
          <w:sz w:val="22"/>
          <w:szCs w:val="22"/>
        </w:rPr>
      </w:pPr>
      <w:r w:rsidRPr="00B167E0">
        <w:rPr>
          <w:rFonts w:ascii="Palatino Linotype" w:hAnsi="Palatino Linotype"/>
          <w:b/>
          <w:sz w:val="22"/>
          <w:szCs w:val="22"/>
        </w:rPr>
        <w:t>Przedmiotem zamówienia jest sukcesywna dostawa</w:t>
      </w:r>
      <w:r w:rsidR="00011382" w:rsidRPr="00B167E0">
        <w:rPr>
          <w:rFonts w:ascii="Palatino Linotype" w:hAnsi="Palatino Linotype"/>
          <w:b/>
          <w:sz w:val="22"/>
          <w:szCs w:val="22"/>
        </w:rPr>
        <w:t xml:space="preserve"> fabrycznie nowych </w:t>
      </w:r>
      <w:r w:rsidR="005227A4" w:rsidRPr="00B167E0">
        <w:rPr>
          <w:rFonts w:ascii="Palatino Linotype" w:hAnsi="Palatino Linotype"/>
          <w:b/>
          <w:sz w:val="22"/>
          <w:szCs w:val="22"/>
        </w:rPr>
        <w:t>materiałów eksploatacyjnych</w:t>
      </w:r>
      <w:r w:rsidR="00011382" w:rsidRPr="00B167E0">
        <w:rPr>
          <w:rFonts w:ascii="Palatino Linotype" w:hAnsi="Palatino Linotype"/>
          <w:b/>
          <w:sz w:val="22"/>
          <w:szCs w:val="22"/>
        </w:rPr>
        <w:t xml:space="preserve">do drukarek i kopiarek, zwanych dalej „materiałami eksploatacyjnymi”, do wskazanych przez Zamawiającego lokalizacji znajdujących </w:t>
      </w:r>
      <w:r w:rsidR="00B167E0">
        <w:rPr>
          <w:rFonts w:ascii="Palatino Linotype" w:hAnsi="Palatino Linotype"/>
          <w:b/>
          <w:sz w:val="22"/>
          <w:szCs w:val="22"/>
        </w:rPr>
        <w:br/>
      </w:r>
      <w:r w:rsidR="00011382" w:rsidRPr="00B167E0">
        <w:rPr>
          <w:rFonts w:ascii="Palatino Linotype" w:hAnsi="Palatino Linotype"/>
          <w:b/>
          <w:sz w:val="22"/>
          <w:szCs w:val="22"/>
        </w:rPr>
        <w:t xml:space="preserve">się na terenie Białegostoku,  </w:t>
      </w:r>
      <w:r w:rsidRPr="00B167E0">
        <w:rPr>
          <w:rFonts w:ascii="Palatino Linotype" w:hAnsi="Palatino Linotype"/>
          <w:b/>
          <w:sz w:val="22"/>
          <w:szCs w:val="22"/>
        </w:rPr>
        <w:t>wymienianych asortymentowo i ilościowo</w:t>
      </w:r>
      <w:r w:rsidR="005227A4" w:rsidRPr="00B167E0">
        <w:rPr>
          <w:rFonts w:ascii="Palatino Linotype" w:hAnsi="Palatino Linotype"/>
          <w:b/>
          <w:sz w:val="22"/>
          <w:szCs w:val="22"/>
        </w:rPr>
        <w:t xml:space="preserve"> w załączniku </w:t>
      </w:r>
      <w:r w:rsidR="00B167E0">
        <w:rPr>
          <w:rFonts w:ascii="Palatino Linotype" w:hAnsi="Palatino Linotype"/>
          <w:b/>
          <w:sz w:val="22"/>
          <w:szCs w:val="22"/>
        </w:rPr>
        <w:br/>
      </w:r>
      <w:r w:rsidR="005227A4" w:rsidRPr="00B167E0">
        <w:rPr>
          <w:rFonts w:ascii="Palatino Linotype" w:hAnsi="Palatino Linotype"/>
          <w:b/>
          <w:sz w:val="22"/>
          <w:szCs w:val="22"/>
        </w:rPr>
        <w:t xml:space="preserve">do </w:t>
      </w:r>
      <w:r w:rsidR="00732A8F" w:rsidRPr="00B167E0">
        <w:rPr>
          <w:rFonts w:ascii="Palatino Linotype" w:hAnsi="Palatino Linotype"/>
          <w:b/>
          <w:sz w:val="22"/>
          <w:szCs w:val="22"/>
        </w:rPr>
        <w:t>S</w:t>
      </w:r>
      <w:r w:rsidR="005227A4" w:rsidRPr="00B167E0">
        <w:rPr>
          <w:rFonts w:ascii="Palatino Linotype" w:hAnsi="Palatino Linotype"/>
          <w:b/>
          <w:sz w:val="22"/>
          <w:szCs w:val="22"/>
        </w:rPr>
        <w:t>OPZ</w:t>
      </w:r>
      <w:r w:rsidR="002F6914" w:rsidRPr="00B167E0">
        <w:rPr>
          <w:rFonts w:ascii="Palatino Linotype" w:hAnsi="Palatino Linotype"/>
          <w:b/>
          <w:sz w:val="22"/>
          <w:szCs w:val="22"/>
        </w:rPr>
        <w:t>.</w:t>
      </w:r>
    </w:p>
    <w:p w:rsidR="00941514" w:rsidRPr="00B167E0" w:rsidRDefault="00941514"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Podstawą zakupu materiałów przez Zamawiającego będą zamówienia składane w trybie określonym w umowie.</w:t>
      </w:r>
    </w:p>
    <w:p w:rsidR="00941514" w:rsidRPr="00B167E0" w:rsidRDefault="00941514"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Wykonawca gwarantuje, iż dostarczone materiały będą odpowiadać wym</w:t>
      </w:r>
      <w:r w:rsidR="00F67752" w:rsidRPr="00B167E0">
        <w:rPr>
          <w:rFonts w:ascii="Palatino Linotype" w:hAnsi="Palatino Linotype"/>
          <w:sz w:val="22"/>
          <w:szCs w:val="22"/>
        </w:rPr>
        <w:t>aganiom</w:t>
      </w:r>
      <w:r w:rsidRPr="00B167E0">
        <w:rPr>
          <w:rFonts w:ascii="Palatino Linotype" w:hAnsi="Palatino Linotype"/>
          <w:sz w:val="22"/>
          <w:szCs w:val="22"/>
        </w:rPr>
        <w:t xml:space="preserve"> norm</w:t>
      </w:r>
      <w:r w:rsidR="00BB5A58" w:rsidRPr="00B167E0">
        <w:rPr>
          <w:rFonts w:ascii="Palatino Linotype" w:hAnsi="Palatino Linotype"/>
          <w:sz w:val="22"/>
          <w:szCs w:val="22"/>
        </w:rPr>
        <w:t xml:space="preserve"> określonych</w:t>
      </w:r>
      <w:r w:rsidR="00134E83" w:rsidRPr="00B167E0">
        <w:rPr>
          <w:rFonts w:ascii="Palatino Linotype" w:hAnsi="Palatino Linotype"/>
          <w:sz w:val="22"/>
          <w:szCs w:val="22"/>
        </w:rPr>
        <w:t xml:space="preserve"> w pkt. 22</w:t>
      </w:r>
      <w:r w:rsidR="00912AF9" w:rsidRPr="00B167E0">
        <w:rPr>
          <w:rFonts w:ascii="Palatino Linotype" w:hAnsi="Palatino Linotype"/>
          <w:sz w:val="22"/>
          <w:szCs w:val="22"/>
        </w:rPr>
        <w:t xml:space="preserve"> poniżej</w:t>
      </w:r>
      <w:r w:rsidRPr="00B167E0">
        <w:rPr>
          <w:rFonts w:ascii="Palatino Linotype" w:hAnsi="Palatino Linotype"/>
          <w:sz w:val="22"/>
          <w:szCs w:val="22"/>
        </w:rPr>
        <w:t xml:space="preserve"> oraz gwarantuje ich dobrą jakość.</w:t>
      </w:r>
    </w:p>
    <w:p w:rsidR="00FD64A4" w:rsidRPr="00B167E0" w:rsidRDefault="005227A4"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Każdy dostarczony materiał</w:t>
      </w:r>
      <w:r w:rsidR="00FD64A4" w:rsidRPr="00B167E0">
        <w:rPr>
          <w:rFonts w:ascii="Palatino Linotype" w:hAnsi="Palatino Linotype"/>
          <w:sz w:val="22"/>
          <w:szCs w:val="22"/>
        </w:rPr>
        <w:t xml:space="preserve"> powinien być dopuszczony do obrotu i stosowania na terenie Polski zgodnie z obowiązującymi przepisami.</w:t>
      </w:r>
    </w:p>
    <w:p w:rsidR="00FD64A4" w:rsidRPr="00B167E0" w:rsidRDefault="00941514"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Wykonawca zobowiązuje się do realizacji przedmiotu um</w:t>
      </w:r>
      <w:r w:rsidR="00FD64A4" w:rsidRPr="00B167E0">
        <w:rPr>
          <w:rFonts w:ascii="Palatino Linotype" w:hAnsi="Palatino Linotype"/>
          <w:sz w:val="22"/>
          <w:szCs w:val="22"/>
        </w:rPr>
        <w:t>owy w formie sukcesywnych</w:t>
      </w:r>
      <w:r w:rsidRPr="00B167E0">
        <w:rPr>
          <w:rFonts w:ascii="Palatino Linotype" w:hAnsi="Palatino Linotype"/>
          <w:sz w:val="22"/>
          <w:szCs w:val="22"/>
        </w:rPr>
        <w:t xml:space="preserve"> dostaw do następujących lokalizacji</w:t>
      </w:r>
      <w:r w:rsidR="001020A2" w:rsidRPr="00B167E0">
        <w:rPr>
          <w:rFonts w:ascii="Palatino Linotype" w:hAnsi="Palatino Linotype"/>
          <w:sz w:val="22"/>
          <w:szCs w:val="22"/>
        </w:rPr>
        <w:t xml:space="preserve"> w Białymstoku </w:t>
      </w:r>
      <w:r w:rsidRPr="00B167E0">
        <w:rPr>
          <w:rFonts w:ascii="Palatino Linotype" w:hAnsi="Palatino Linotype"/>
          <w:sz w:val="22"/>
          <w:szCs w:val="22"/>
        </w:rPr>
        <w:t xml:space="preserve"> przy ulicy:</w:t>
      </w:r>
    </w:p>
    <w:p w:rsidR="00B167E0" w:rsidRDefault="00B167E0" w:rsidP="00B167E0">
      <w:pPr>
        <w:pStyle w:val="Akapitzlist"/>
        <w:numPr>
          <w:ilvl w:val="0"/>
          <w:numId w:val="4"/>
        </w:numPr>
        <w:spacing w:line="276" w:lineRule="auto"/>
        <w:jc w:val="both"/>
        <w:rPr>
          <w:rFonts w:ascii="Palatino Linotype" w:hAnsi="Palatino Linotype"/>
          <w:sz w:val="22"/>
          <w:szCs w:val="22"/>
        </w:rPr>
      </w:pPr>
      <w:r w:rsidRPr="00B167E0">
        <w:rPr>
          <w:rFonts w:ascii="Palatino Linotype" w:hAnsi="Palatino Linotype"/>
          <w:sz w:val="22"/>
          <w:szCs w:val="22"/>
        </w:rPr>
        <w:t>ul. Kardynała Stefana Wyszyńskiego 1;</w:t>
      </w:r>
    </w:p>
    <w:p w:rsidR="00B167E0" w:rsidRDefault="00B167E0" w:rsidP="00B167E0">
      <w:pPr>
        <w:pStyle w:val="Akapitzlist"/>
        <w:numPr>
          <w:ilvl w:val="0"/>
          <w:numId w:val="4"/>
        </w:numPr>
        <w:spacing w:line="276" w:lineRule="auto"/>
        <w:jc w:val="both"/>
        <w:rPr>
          <w:rFonts w:ascii="Palatino Linotype" w:hAnsi="Palatino Linotype"/>
          <w:sz w:val="22"/>
          <w:szCs w:val="22"/>
        </w:rPr>
      </w:pPr>
      <w:r w:rsidRPr="00B167E0">
        <w:rPr>
          <w:rFonts w:ascii="Palatino Linotype" w:hAnsi="Palatino Linotype"/>
          <w:sz w:val="22"/>
          <w:szCs w:val="22"/>
        </w:rPr>
        <w:t>ul. Poleska 89;</w:t>
      </w:r>
    </w:p>
    <w:p w:rsidR="00B167E0" w:rsidRPr="00B167E0" w:rsidRDefault="00B167E0" w:rsidP="00B167E0">
      <w:pPr>
        <w:pStyle w:val="Akapitzlist"/>
        <w:numPr>
          <w:ilvl w:val="0"/>
          <w:numId w:val="4"/>
        </w:numPr>
        <w:spacing w:line="276" w:lineRule="auto"/>
        <w:jc w:val="both"/>
        <w:rPr>
          <w:rFonts w:ascii="Palatino Linotype" w:hAnsi="Palatino Linotype"/>
          <w:sz w:val="22"/>
          <w:szCs w:val="22"/>
        </w:rPr>
      </w:pPr>
      <w:r w:rsidRPr="00B167E0">
        <w:rPr>
          <w:rFonts w:ascii="Palatino Linotype" w:hAnsi="Palatino Linotype"/>
          <w:sz w:val="22"/>
          <w:szCs w:val="22"/>
        </w:rPr>
        <w:t>ul. George'a Smitha Pattona 8</w:t>
      </w:r>
      <w:r>
        <w:rPr>
          <w:rFonts w:ascii="Palatino Linotype" w:hAnsi="Palatino Linotype"/>
          <w:sz w:val="22"/>
          <w:szCs w:val="22"/>
          <w:lang w:val="en-US"/>
        </w:rPr>
        <w:t>;</w:t>
      </w:r>
    </w:p>
    <w:p w:rsidR="00B167E0" w:rsidRPr="00B167E0" w:rsidRDefault="00B167E0" w:rsidP="00B167E0">
      <w:pPr>
        <w:pStyle w:val="Akapitzlist"/>
        <w:numPr>
          <w:ilvl w:val="0"/>
          <w:numId w:val="4"/>
        </w:numPr>
        <w:spacing w:line="276" w:lineRule="auto"/>
        <w:jc w:val="both"/>
        <w:rPr>
          <w:rFonts w:ascii="Palatino Linotype" w:hAnsi="Palatino Linotype"/>
          <w:sz w:val="22"/>
          <w:szCs w:val="22"/>
        </w:rPr>
      </w:pPr>
      <w:r w:rsidRPr="00B167E0">
        <w:rPr>
          <w:rFonts w:ascii="Palatino Linotype" w:hAnsi="Palatino Linotype"/>
          <w:sz w:val="22"/>
          <w:szCs w:val="22"/>
        </w:rPr>
        <w:lastRenderedPageBreak/>
        <w:t>ul. Marii Skłodowskiej-Curie 14.</w:t>
      </w:r>
    </w:p>
    <w:p w:rsidR="00E23094" w:rsidRPr="00B167E0" w:rsidRDefault="00E23094" w:rsidP="00055D0C">
      <w:pPr>
        <w:spacing w:line="276" w:lineRule="auto"/>
        <w:ind w:left="357"/>
        <w:jc w:val="both"/>
        <w:rPr>
          <w:rFonts w:ascii="Palatino Linotype" w:hAnsi="Palatino Linotype"/>
          <w:sz w:val="22"/>
          <w:szCs w:val="22"/>
        </w:rPr>
      </w:pPr>
      <w:r w:rsidRPr="00B167E0">
        <w:rPr>
          <w:rFonts w:ascii="Palatino Linotype" w:hAnsi="Palatino Linotype"/>
          <w:sz w:val="22"/>
          <w:szCs w:val="22"/>
        </w:rPr>
        <w:t xml:space="preserve">Zamówienia Zamawiającego będą składane za pośrednictwem poczty elektronicznej </w:t>
      </w:r>
      <w:r w:rsidR="00732A8F" w:rsidRPr="00B167E0">
        <w:rPr>
          <w:rFonts w:ascii="Palatino Linotype" w:hAnsi="Palatino Linotype"/>
          <w:sz w:val="22"/>
          <w:szCs w:val="22"/>
        </w:rPr>
        <w:br/>
      </w:r>
      <w:r w:rsidRPr="00B167E0">
        <w:rPr>
          <w:rFonts w:ascii="Palatino Linotype" w:hAnsi="Palatino Linotype"/>
          <w:sz w:val="22"/>
          <w:szCs w:val="22"/>
        </w:rPr>
        <w:t>w terminie określonym w umowie. Dostawę uważa się za wykonaną w terminie, jeżeli wszystkie tonery i tusze z zamówienia Zamawiającego będą dostarczone we wskazanych miejscach dostawy w terminie określonym w zamówieniu.</w:t>
      </w:r>
    </w:p>
    <w:p w:rsidR="00941514" w:rsidRPr="00B167E0" w:rsidRDefault="00941514"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 xml:space="preserve">Termin przydatności </w:t>
      </w:r>
      <w:r w:rsidR="005227A4" w:rsidRPr="00B167E0">
        <w:rPr>
          <w:rFonts w:ascii="Palatino Linotype" w:hAnsi="Palatino Linotype"/>
          <w:sz w:val="22"/>
          <w:szCs w:val="22"/>
        </w:rPr>
        <w:t>do użycia dostarczonych materiałów eksploatacyjnych</w:t>
      </w:r>
      <w:r w:rsidRPr="00B167E0">
        <w:rPr>
          <w:rFonts w:ascii="Palatino Linotype" w:hAnsi="Palatino Linotype"/>
          <w:sz w:val="22"/>
          <w:szCs w:val="22"/>
        </w:rPr>
        <w:t xml:space="preserve"> nie może być krótsz</w:t>
      </w:r>
      <w:r w:rsidR="005227A4" w:rsidRPr="00B167E0">
        <w:rPr>
          <w:rFonts w:ascii="Palatino Linotype" w:hAnsi="Palatino Linotype"/>
          <w:sz w:val="22"/>
          <w:szCs w:val="22"/>
        </w:rPr>
        <w:t xml:space="preserve">y niż </w:t>
      </w:r>
      <w:r w:rsidRPr="00B167E0">
        <w:rPr>
          <w:rFonts w:ascii="Palatino Linotype" w:hAnsi="Palatino Linotype"/>
          <w:sz w:val="22"/>
          <w:szCs w:val="22"/>
        </w:rPr>
        <w:t>12 miesięcy, licząc od daty dostawy.</w:t>
      </w:r>
    </w:p>
    <w:p w:rsidR="00C86CC2" w:rsidRPr="00B167E0" w:rsidRDefault="00FD64A4"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Wykonawca ma obowiązek dostarczyć (wraz z w</w:t>
      </w:r>
      <w:r w:rsidR="005227A4" w:rsidRPr="00B167E0">
        <w:rPr>
          <w:rFonts w:ascii="Palatino Linotype" w:hAnsi="Palatino Linotype"/>
          <w:sz w:val="22"/>
          <w:szCs w:val="22"/>
        </w:rPr>
        <w:t>niesieniem) materiały eksploatacyjne</w:t>
      </w:r>
      <w:r w:rsidR="00C06808" w:rsidRPr="00B167E0">
        <w:rPr>
          <w:rFonts w:ascii="Palatino Linotype" w:hAnsi="Palatino Linotype"/>
          <w:sz w:val="22"/>
          <w:szCs w:val="22"/>
        </w:rPr>
        <w:br/>
      </w:r>
      <w:r w:rsidRPr="00B167E0">
        <w:rPr>
          <w:rFonts w:ascii="Palatino Linotype" w:hAnsi="Palatino Linotype"/>
          <w:sz w:val="22"/>
          <w:szCs w:val="22"/>
        </w:rPr>
        <w:t>w miejsce wskazane przez Zamawiającego.</w:t>
      </w:r>
      <w:r w:rsidR="00E23094" w:rsidRPr="00B167E0">
        <w:rPr>
          <w:rFonts w:ascii="Palatino Linotype" w:hAnsi="Palatino Linotype"/>
          <w:sz w:val="22"/>
          <w:szCs w:val="22"/>
        </w:rPr>
        <w:t xml:space="preserve"> Transport, wniesienie oraz ubezpieczenie przedmiotu dostawy do chwili odbioru przez Zamawiającego będą odbywały się na koszt </w:t>
      </w:r>
      <w:r w:rsidR="00E23094" w:rsidRPr="00B167E0">
        <w:rPr>
          <w:rFonts w:ascii="Palatino Linotype" w:hAnsi="Palatino Linotype"/>
          <w:sz w:val="22"/>
          <w:szCs w:val="22"/>
        </w:rPr>
        <w:br/>
        <w:t>i ryzyko Wykonawcy.</w:t>
      </w:r>
    </w:p>
    <w:p w:rsidR="00C86CC2" w:rsidRPr="00B167E0" w:rsidRDefault="00C86CC2"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Zamawiający przewiduje zastosowanie prawa opcji, o którym mowa w art. 34 ust. 5 Ustawy prawo zamówień publicznych.</w:t>
      </w:r>
    </w:p>
    <w:p w:rsidR="00C86CC2" w:rsidRPr="00B167E0" w:rsidRDefault="00C86CC2"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 xml:space="preserve">Prawo opcji polega na zwiększeniu zakresu przedmiotu zamówienia o dodatkowe materiały eksploatacyjne, których ilości zostały wskazane w kolumnie „Prawo opcji-  ilości” w załączniku do SOPZ. Wykonawcy będą dostarczać materiały eksploatacyjne, stanowiące przedmiot prawa opcji za cenę jednostkową podaną przez Wykonawcę </w:t>
      </w:r>
      <w:r w:rsidR="00B167E0">
        <w:rPr>
          <w:rFonts w:ascii="Palatino Linotype" w:hAnsi="Palatino Linotype"/>
          <w:sz w:val="22"/>
          <w:szCs w:val="22"/>
        </w:rPr>
        <w:br/>
      </w:r>
      <w:r w:rsidRPr="00B167E0">
        <w:rPr>
          <w:rFonts w:ascii="Palatino Linotype" w:hAnsi="Palatino Linotype"/>
          <w:sz w:val="22"/>
          <w:szCs w:val="22"/>
        </w:rPr>
        <w:t>w ofercie.</w:t>
      </w:r>
    </w:p>
    <w:p w:rsidR="00C86CC2" w:rsidRPr="00B167E0" w:rsidRDefault="00C86CC2"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 xml:space="preserve">Zamawiający zastrzega sobie prawo niewykorzystania całego zakresu ilościowego przedmiotu zamówienia z prawa opcji dostosowując je do poziomu wynikającego </w:t>
      </w:r>
      <w:r w:rsidR="00B167E0">
        <w:rPr>
          <w:rFonts w:ascii="Palatino Linotype" w:hAnsi="Palatino Linotype"/>
          <w:sz w:val="22"/>
          <w:szCs w:val="22"/>
        </w:rPr>
        <w:br/>
      </w:r>
      <w:r w:rsidRPr="00B167E0">
        <w:rPr>
          <w:rFonts w:ascii="Palatino Linotype" w:hAnsi="Palatino Linotype"/>
          <w:sz w:val="22"/>
          <w:szCs w:val="22"/>
        </w:rPr>
        <w:t xml:space="preserve">z faktycznych potrzeb Zamawiającego. </w:t>
      </w:r>
    </w:p>
    <w:p w:rsidR="00C86CC2" w:rsidRPr="00B167E0" w:rsidRDefault="00C86CC2"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Zamawiający dopuszcza możliwość zmian ilościowych w poszczególnych pozycjach zakresu rzeczowego przedmiotu zamówienia, jednakże zmiany mogą następować wyłącznie w ramach określonej w prawie opcji maksymalnej wartości umowy.</w:t>
      </w:r>
    </w:p>
    <w:p w:rsidR="00C86CC2" w:rsidRPr="00B167E0" w:rsidRDefault="00C86CC2"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 xml:space="preserve">Zasady realizacji przedmiotu zamówienia objętego prawem opcji dotyczące </w:t>
      </w:r>
      <w:r w:rsidR="00B167E0">
        <w:rPr>
          <w:rFonts w:ascii="Palatino Linotype" w:hAnsi="Palatino Linotype"/>
          <w:sz w:val="22"/>
          <w:szCs w:val="22"/>
        </w:rPr>
        <w:br/>
      </w:r>
      <w:r w:rsidRPr="00B167E0">
        <w:rPr>
          <w:rFonts w:ascii="Palatino Linotype" w:hAnsi="Palatino Linotype"/>
          <w:sz w:val="22"/>
          <w:szCs w:val="22"/>
        </w:rPr>
        <w:t>w szczególności: sposobu jego realizacji, jego odbioru, wymaganych norm i warunków technicznych, sposobu zapłaty, sposobu naliczenia kar umownych, wykonywania prawa i obowiązków wynikających oraz współpracy Stron będą takie same jak te, które obowiązują w stosunku do podstawowego przedmiotu zamówienia.</w:t>
      </w:r>
    </w:p>
    <w:p w:rsidR="00C86CC2" w:rsidRPr="00B167E0" w:rsidRDefault="00C86CC2"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Skorzystanie z prawa opcji nie stanowi zmiany umowy ani nie wyma</w:t>
      </w:r>
      <w:r w:rsidR="00C22656" w:rsidRPr="00B167E0">
        <w:rPr>
          <w:rFonts w:ascii="Palatino Linotype" w:hAnsi="Palatino Linotype"/>
          <w:sz w:val="22"/>
          <w:szCs w:val="22"/>
        </w:rPr>
        <w:t>ga podpisania dodatkowej umowy.</w:t>
      </w:r>
    </w:p>
    <w:p w:rsidR="00C86CC2" w:rsidRPr="00B167E0" w:rsidRDefault="00C86CC2"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Ewentualne skorzystanie z prawa opcji (wezwanie Wykonawcy do realizacji dostawy materiałów eksploatacyjnych) może nastąpić w całym okresie obo</w:t>
      </w:r>
      <w:r w:rsidR="00B167E0">
        <w:rPr>
          <w:rFonts w:ascii="Palatino Linotype" w:hAnsi="Palatino Linotype"/>
          <w:sz w:val="22"/>
          <w:szCs w:val="22"/>
        </w:rPr>
        <w:t xml:space="preserve">wiązywania umowy. Oświadczenie  </w:t>
      </w:r>
      <w:r w:rsidRPr="00B167E0">
        <w:rPr>
          <w:rFonts w:ascii="Palatino Linotype" w:hAnsi="Palatino Linotype"/>
          <w:sz w:val="22"/>
          <w:szCs w:val="22"/>
        </w:rPr>
        <w:t>w przedmiocie skorzystania z prawa opcji zostanie przekazane Wykonawcy w formie pisemnej lub pocztą elektronicz</w:t>
      </w:r>
      <w:r w:rsidR="00C22656" w:rsidRPr="00B167E0">
        <w:rPr>
          <w:rFonts w:ascii="Palatino Linotype" w:hAnsi="Palatino Linotype"/>
          <w:sz w:val="22"/>
          <w:szCs w:val="22"/>
        </w:rPr>
        <w:t>ną, według wzoru Zamawiającego.</w:t>
      </w:r>
    </w:p>
    <w:p w:rsidR="00011382" w:rsidRPr="00B167E0" w:rsidRDefault="00011382"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 xml:space="preserve">W załączniku stanowiącym OPZ wskazano urządzenia jakimi dysponuje Zamawiający oraz określono symbole oryginalnych materiałów eksploatacyjnych wyprodukowanych lub zalecanych do stosowania przez producentów urządzeń, do których są przeznaczone. Jednocześnie Zamawiający informuje, że wymienione w załączniku znaki towarowe </w:t>
      </w:r>
      <w:r w:rsidR="00EF0410">
        <w:rPr>
          <w:rFonts w:ascii="Palatino Linotype" w:hAnsi="Palatino Linotype"/>
          <w:sz w:val="22"/>
          <w:szCs w:val="22"/>
        </w:rPr>
        <w:br/>
      </w:r>
      <w:r w:rsidRPr="00B167E0">
        <w:rPr>
          <w:rFonts w:ascii="Palatino Linotype" w:hAnsi="Palatino Linotype"/>
          <w:sz w:val="22"/>
          <w:szCs w:val="22"/>
        </w:rPr>
        <w:lastRenderedPageBreak/>
        <w:t xml:space="preserve">i nazwy producentów dotyczą towaru powszechnie dostępnego na rynku, zaś ich wskazanie wobec braku odpowiednich norm przedmiotowych, określających parametry tych materiałów, ma jedynie na celu określenie standardu jakościowego </w:t>
      </w:r>
      <w:r w:rsidR="00EF0410">
        <w:rPr>
          <w:rFonts w:ascii="Palatino Linotype" w:hAnsi="Palatino Linotype"/>
          <w:sz w:val="22"/>
          <w:szCs w:val="22"/>
        </w:rPr>
        <w:br/>
      </w:r>
      <w:r w:rsidRPr="00B167E0">
        <w:rPr>
          <w:rFonts w:ascii="Palatino Linotype" w:hAnsi="Palatino Linotype"/>
          <w:sz w:val="22"/>
          <w:szCs w:val="22"/>
        </w:rPr>
        <w:t>i wydajnościowego zamawianych materiałów eksploatacyjnych.</w:t>
      </w:r>
    </w:p>
    <w:p w:rsidR="00924592" w:rsidRPr="00B167E0" w:rsidRDefault="00924592"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Oferowane materiały eksploatacyjne muszą być oryginalne, produkowane jako fabrycznie nowe, zgodne z wymogami i atestami jakościowymi oraz normami w zakresie oznakowania wyrobów, wolne od wad technicznych i prawnych, dopuszczone do obrotu oraz w I gatunku. Zamawiający, zgodnie z art.30 ust. 4 ustawy, dopuszcza zaoferowanie przez wykonawcę materiałów równoważnych w stosunku do wskazanych w Formularzu cenowym materiałów oryginalnych, o ile spełniają one</w:t>
      </w:r>
      <w:r w:rsidR="00C22656" w:rsidRPr="00B167E0">
        <w:rPr>
          <w:rFonts w:ascii="Palatino Linotype" w:hAnsi="Palatino Linotype"/>
          <w:sz w:val="22"/>
          <w:szCs w:val="22"/>
        </w:rPr>
        <w:t xml:space="preserve"> wymogi określone  w punkcie: 16 C</w:t>
      </w:r>
    </w:p>
    <w:p w:rsidR="00924592" w:rsidRPr="00B167E0" w:rsidRDefault="00924592" w:rsidP="00055D0C">
      <w:pPr>
        <w:pStyle w:val="Akapitzlist"/>
        <w:numPr>
          <w:ilvl w:val="0"/>
          <w:numId w:val="9"/>
        </w:numPr>
        <w:spacing w:line="276" w:lineRule="auto"/>
        <w:jc w:val="both"/>
        <w:rPr>
          <w:rFonts w:ascii="Palatino Linotype" w:hAnsi="Palatino Linotype"/>
          <w:sz w:val="22"/>
          <w:szCs w:val="22"/>
        </w:rPr>
      </w:pPr>
      <w:r w:rsidRPr="00B167E0">
        <w:rPr>
          <w:rFonts w:ascii="Palatino Linotype" w:hAnsi="Palatino Linotype"/>
          <w:b/>
          <w:sz w:val="22"/>
          <w:szCs w:val="22"/>
        </w:rPr>
        <w:t>Pod pojęciem „oryginalnych</w:t>
      </w:r>
      <w:r w:rsidRPr="00B167E0">
        <w:rPr>
          <w:rFonts w:ascii="Palatino Linotype" w:hAnsi="Palatino Linotype"/>
          <w:sz w:val="22"/>
          <w:szCs w:val="22"/>
        </w:rPr>
        <w:t>” materiałów eksploatacyjnych rozumie się materiały wyprodukowane lub zalecane do stosowania przez producenta urządzeń. Przez zalecane do stosowania przez producenta urządzenia należy rozumieć materiały eksploatacyjne wskazane do stosowania w instrukcji obsługi urządzenia lub innym dokumencie sygnowanym przez producenta urządzenia.</w:t>
      </w:r>
    </w:p>
    <w:p w:rsidR="008C2BDF" w:rsidRPr="00B167E0" w:rsidRDefault="008C2BDF" w:rsidP="00055D0C">
      <w:pPr>
        <w:pStyle w:val="Default"/>
        <w:numPr>
          <w:ilvl w:val="0"/>
          <w:numId w:val="9"/>
        </w:numPr>
        <w:spacing w:after="21" w:line="276" w:lineRule="auto"/>
        <w:jc w:val="both"/>
        <w:rPr>
          <w:rFonts w:ascii="Palatino Linotype" w:hAnsi="Palatino Linotype"/>
          <w:color w:val="auto"/>
          <w:sz w:val="22"/>
          <w:szCs w:val="22"/>
        </w:rPr>
      </w:pPr>
      <w:r w:rsidRPr="00B167E0">
        <w:rPr>
          <w:rFonts w:ascii="Palatino Linotype" w:hAnsi="Palatino Linotype"/>
          <w:b/>
          <w:bCs/>
          <w:color w:val="auto"/>
          <w:sz w:val="22"/>
          <w:szCs w:val="22"/>
        </w:rPr>
        <w:t xml:space="preserve">Pod pojęciem „fabrycznie nowe” </w:t>
      </w:r>
      <w:r w:rsidRPr="00B167E0">
        <w:rPr>
          <w:rFonts w:ascii="Palatino Linotype" w:hAnsi="Palatino Linotype"/>
          <w:color w:val="auto"/>
          <w:sz w:val="22"/>
          <w:szCs w:val="22"/>
        </w:rPr>
        <w:t xml:space="preserve">rozumie się produkty wolne od wad technicznych, wykonane z nowych, dotychczas nieużywanych elementów, bez śladów uszkodzenia i użytkowania, nieregenerowane (tj. niepoddane procesowi ich ponownego napełniania), nieprefabrykowane i </w:t>
      </w:r>
      <w:proofErr w:type="spellStart"/>
      <w:r w:rsidRPr="00B167E0">
        <w:rPr>
          <w:rFonts w:ascii="Palatino Linotype" w:hAnsi="Palatino Linotype"/>
          <w:color w:val="auto"/>
          <w:sz w:val="22"/>
          <w:szCs w:val="22"/>
        </w:rPr>
        <w:t>nierefabrykowane</w:t>
      </w:r>
      <w:proofErr w:type="spellEnd"/>
      <w:r w:rsidRPr="00B167E0">
        <w:rPr>
          <w:rFonts w:ascii="Palatino Linotype" w:hAnsi="Palatino Linotype"/>
          <w:color w:val="auto"/>
          <w:sz w:val="22"/>
          <w:szCs w:val="22"/>
        </w:rPr>
        <w:t xml:space="preserve"> (tj. do przywrócenia ich stanu użytkowego – nie zastosowano w miejsce zużytych ani nowych, ani odzyskanych części z zużytych </w:t>
      </w:r>
      <w:proofErr w:type="spellStart"/>
      <w:r w:rsidRPr="00B167E0">
        <w:rPr>
          <w:rFonts w:ascii="Palatino Linotype" w:hAnsi="Palatino Linotype"/>
          <w:color w:val="auto"/>
          <w:sz w:val="22"/>
          <w:szCs w:val="22"/>
        </w:rPr>
        <w:t>kartridży</w:t>
      </w:r>
      <w:proofErr w:type="spellEnd"/>
      <w:r w:rsidRPr="00B167E0">
        <w:rPr>
          <w:rFonts w:ascii="Palatino Linotype" w:hAnsi="Palatino Linotype"/>
          <w:color w:val="auto"/>
          <w:sz w:val="22"/>
          <w:szCs w:val="22"/>
        </w:rPr>
        <w:t xml:space="preserve">), które przeszły testy wykluczające wady materiałowe (nieszczelności, mikropęknięcia), w tym: obudowy, wałki światłoczułe, bębny optyczne w tonerach, listwy czyszczące i rozprowadzające, koła zębate, złącza, elementy elektroniczne i inne, w oryginalnych opakowaniach producenta. </w:t>
      </w:r>
      <w:r w:rsidR="00C770BB">
        <w:rPr>
          <w:rFonts w:ascii="Palatino Linotype" w:hAnsi="Palatino Linotype"/>
          <w:color w:val="auto"/>
          <w:sz w:val="22"/>
          <w:szCs w:val="22"/>
        </w:rPr>
        <w:br/>
      </w:r>
      <w:r w:rsidRPr="00B167E0">
        <w:rPr>
          <w:rFonts w:ascii="Palatino Linotype" w:hAnsi="Palatino Linotype"/>
          <w:color w:val="auto"/>
          <w:sz w:val="22"/>
          <w:szCs w:val="22"/>
        </w:rPr>
        <w:t xml:space="preserve">Za fabrycznie nowy nie uznaje się materiału, którego pojemnik został jedynie wyczyszczony i ponownie napełniony tonerem lub tuszem. </w:t>
      </w:r>
    </w:p>
    <w:p w:rsidR="00C22656" w:rsidRDefault="00C22656" w:rsidP="00C22656">
      <w:pPr>
        <w:pStyle w:val="Default"/>
        <w:numPr>
          <w:ilvl w:val="0"/>
          <w:numId w:val="9"/>
        </w:numPr>
        <w:spacing w:line="276" w:lineRule="auto"/>
        <w:jc w:val="both"/>
        <w:rPr>
          <w:rFonts w:ascii="Palatino Linotype" w:hAnsi="Palatino Linotype"/>
          <w:sz w:val="22"/>
          <w:szCs w:val="22"/>
        </w:rPr>
      </w:pPr>
      <w:r w:rsidRPr="00B167E0">
        <w:rPr>
          <w:rFonts w:ascii="Palatino Linotype" w:hAnsi="Palatino Linotype"/>
          <w:b/>
          <w:bCs/>
          <w:sz w:val="22"/>
          <w:szCs w:val="22"/>
        </w:rPr>
        <w:t xml:space="preserve">Pod pojęciem „równoważnych” materiałów eksploatacyjnych </w:t>
      </w:r>
      <w:r w:rsidRPr="00B167E0">
        <w:rPr>
          <w:rFonts w:ascii="Palatino Linotype" w:hAnsi="Palatino Linotype"/>
          <w:sz w:val="22"/>
          <w:szCs w:val="22"/>
        </w:rPr>
        <w:t xml:space="preserve">rozumie się materiały fabrycznie nowe, kompatybilne z urządzeniem, do którego są zamawiane, </w:t>
      </w:r>
      <w:r w:rsidR="00EF0410">
        <w:rPr>
          <w:rFonts w:ascii="Palatino Linotype" w:hAnsi="Palatino Linotype"/>
          <w:sz w:val="22"/>
          <w:szCs w:val="22"/>
        </w:rPr>
        <w:br/>
      </w:r>
      <w:r w:rsidRPr="00B167E0">
        <w:rPr>
          <w:rFonts w:ascii="Palatino Linotype" w:hAnsi="Palatino Linotype"/>
          <w:sz w:val="22"/>
          <w:szCs w:val="22"/>
        </w:rPr>
        <w:t xml:space="preserve">o parametrach takich samych lub lepszych (pojemność tuszu/tonera, wydajność </w:t>
      </w:r>
      <w:r w:rsidR="00EF0410">
        <w:rPr>
          <w:rFonts w:ascii="Palatino Linotype" w:hAnsi="Palatino Linotype"/>
          <w:sz w:val="22"/>
          <w:szCs w:val="22"/>
        </w:rPr>
        <w:br/>
      </w:r>
      <w:r w:rsidRPr="00B167E0">
        <w:rPr>
          <w:rFonts w:ascii="Palatino Linotype" w:hAnsi="Palatino Linotype"/>
          <w:sz w:val="22"/>
          <w:szCs w:val="22"/>
        </w:rPr>
        <w:t xml:space="preserve">i jakość wydruku) w stosunku do oryginału produkowanego lub zalecanego do stosowania przez producenta urządzenia. Oferowane materiały równoważne nie mogą powodować ograniczeń funkcji i możliwości urządzeń oraz zaniżać jakości wydruku oferowanych w warunkach technicznych producenta urządzenia (pełna kompatybilność z oprogramowaniem sprzętu: informowanie o liczbie wydrukowanych stron, poziomie zużycia tonera, tuszu, głowicy, itp.). W przypadku gdy oryginalny materiał eksploatacyjny posiada wbudowany układ scalony, który monitoruje proces druku i zużycie tonera, materiał eksploatacyjny równoważny musi posiadać analogiczny element. </w:t>
      </w:r>
    </w:p>
    <w:p w:rsidR="001F787C" w:rsidRDefault="001F787C" w:rsidP="001F787C">
      <w:pPr>
        <w:pStyle w:val="Default"/>
        <w:spacing w:line="276" w:lineRule="auto"/>
        <w:jc w:val="both"/>
        <w:rPr>
          <w:rFonts w:ascii="Palatino Linotype" w:hAnsi="Palatino Linotype"/>
          <w:sz w:val="22"/>
          <w:szCs w:val="22"/>
        </w:rPr>
      </w:pPr>
    </w:p>
    <w:p w:rsidR="001F787C" w:rsidRDefault="001F787C" w:rsidP="001F787C">
      <w:pPr>
        <w:pStyle w:val="Default"/>
        <w:spacing w:line="276" w:lineRule="auto"/>
        <w:jc w:val="both"/>
        <w:rPr>
          <w:rFonts w:ascii="Palatino Linotype" w:hAnsi="Palatino Linotype"/>
          <w:sz w:val="22"/>
          <w:szCs w:val="22"/>
        </w:rPr>
      </w:pPr>
    </w:p>
    <w:p w:rsidR="001F787C" w:rsidRPr="00B167E0" w:rsidRDefault="001F787C" w:rsidP="001F787C">
      <w:pPr>
        <w:pStyle w:val="Default"/>
        <w:spacing w:line="276" w:lineRule="auto"/>
        <w:jc w:val="both"/>
        <w:rPr>
          <w:rFonts w:ascii="Palatino Linotype" w:hAnsi="Palatino Linotype"/>
          <w:sz w:val="22"/>
          <w:szCs w:val="22"/>
        </w:rPr>
      </w:pPr>
    </w:p>
    <w:p w:rsidR="00E5638F" w:rsidRPr="00B167E0" w:rsidRDefault="002D7C7F"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 xml:space="preserve">Jakość wydruku (kopii), wydajność i szybkość schnięcia (utrwalenia) oraz nie zamazywania się druku (kopii) oferowanych </w:t>
      </w:r>
      <w:r w:rsidR="0017566B" w:rsidRPr="00B167E0">
        <w:rPr>
          <w:rFonts w:ascii="Palatino Linotype" w:hAnsi="Palatino Linotype"/>
          <w:sz w:val="22"/>
          <w:szCs w:val="22"/>
        </w:rPr>
        <w:t>materiałów eksploatacyjnych</w:t>
      </w:r>
      <w:r w:rsidR="00094D3F" w:rsidRPr="00B167E0">
        <w:rPr>
          <w:rFonts w:ascii="Palatino Linotype" w:hAnsi="Palatino Linotype"/>
          <w:sz w:val="22"/>
          <w:szCs w:val="22"/>
        </w:rPr>
        <w:t>równoważnych</w:t>
      </w:r>
      <w:r w:rsidRPr="00B167E0">
        <w:rPr>
          <w:rFonts w:ascii="Palatino Linotype" w:hAnsi="Palatino Linotype"/>
          <w:sz w:val="22"/>
          <w:szCs w:val="22"/>
        </w:rPr>
        <w:t xml:space="preserve"> winna </w:t>
      </w:r>
      <w:r w:rsidR="004D3040" w:rsidRPr="00B167E0">
        <w:rPr>
          <w:rFonts w:ascii="Palatino Linotype" w:hAnsi="Palatino Linotype"/>
          <w:sz w:val="22"/>
          <w:szCs w:val="22"/>
        </w:rPr>
        <w:t>odpowiadać</w:t>
      </w:r>
      <w:r w:rsidRPr="00B167E0">
        <w:rPr>
          <w:rFonts w:ascii="Palatino Linotype" w:hAnsi="Palatino Linotype"/>
          <w:sz w:val="22"/>
          <w:szCs w:val="22"/>
        </w:rPr>
        <w:t xml:space="preserve">, w tym </w:t>
      </w:r>
      <w:r w:rsidR="004D3040" w:rsidRPr="00B167E0">
        <w:rPr>
          <w:rFonts w:ascii="Palatino Linotype" w:hAnsi="Palatino Linotype"/>
          <w:sz w:val="22"/>
          <w:szCs w:val="22"/>
        </w:rPr>
        <w:t>również</w:t>
      </w:r>
      <w:r w:rsidRPr="00B167E0">
        <w:rPr>
          <w:rFonts w:ascii="Palatino Linotype" w:hAnsi="Palatino Linotype"/>
          <w:sz w:val="22"/>
          <w:szCs w:val="22"/>
        </w:rPr>
        <w:t xml:space="preserve"> w zakresie be</w:t>
      </w:r>
      <w:r w:rsidR="004D3040" w:rsidRPr="00B167E0">
        <w:rPr>
          <w:rFonts w:ascii="Palatino Linotype" w:hAnsi="Palatino Linotype"/>
          <w:sz w:val="22"/>
          <w:szCs w:val="22"/>
        </w:rPr>
        <w:t>zawaryjnej pracy urządzenia, jako</w:t>
      </w:r>
      <w:r w:rsidRPr="00B167E0">
        <w:rPr>
          <w:rFonts w:ascii="Palatino Linotype" w:hAnsi="Palatino Linotype"/>
          <w:sz w:val="22"/>
          <w:szCs w:val="22"/>
        </w:rPr>
        <w:t>ś</w:t>
      </w:r>
      <w:r w:rsidR="009C1205" w:rsidRPr="00B167E0">
        <w:rPr>
          <w:rFonts w:ascii="Palatino Linotype" w:hAnsi="Palatino Linotype"/>
          <w:sz w:val="22"/>
          <w:szCs w:val="22"/>
        </w:rPr>
        <w:t xml:space="preserve">ci </w:t>
      </w:r>
      <w:r w:rsidR="0017566B" w:rsidRPr="00B167E0">
        <w:rPr>
          <w:rFonts w:ascii="Palatino Linotype" w:hAnsi="Palatino Linotype"/>
          <w:sz w:val="22"/>
          <w:szCs w:val="22"/>
        </w:rPr>
        <w:t>materiałów eksploatacyjnych</w:t>
      </w:r>
      <w:r w:rsidRPr="00B167E0">
        <w:rPr>
          <w:rFonts w:ascii="Palatino Linotype" w:hAnsi="Palatino Linotype"/>
          <w:sz w:val="22"/>
          <w:szCs w:val="22"/>
        </w:rPr>
        <w:t xml:space="preserve"> producenta urządzenia, w </w:t>
      </w:r>
      <w:r w:rsidR="004D3040" w:rsidRPr="00B167E0">
        <w:rPr>
          <w:rFonts w:ascii="Palatino Linotype" w:hAnsi="Palatino Linotype"/>
          <w:sz w:val="22"/>
          <w:szCs w:val="22"/>
        </w:rPr>
        <w:t>którym</w:t>
      </w:r>
      <w:r w:rsidRPr="00B167E0">
        <w:rPr>
          <w:rFonts w:ascii="Palatino Linotype" w:hAnsi="Palatino Linotype"/>
          <w:sz w:val="22"/>
          <w:szCs w:val="22"/>
        </w:rPr>
        <w:t xml:space="preserve"> mają zastosowanie. W przypadku, gdy w trakcie eksploatacji </w:t>
      </w:r>
      <w:r w:rsidR="0017566B" w:rsidRPr="00B167E0">
        <w:rPr>
          <w:rFonts w:ascii="Palatino Linotype" w:hAnsi="Palatino Linotype"/>
          <w:sz w:val="22"/>
          <w:szCs w:val="22"/>
        </w:rPr>
        <w:t>materiałów eksploatacyjnych</w:t>
      </w:r>
      <w:r w:rsidRPr="00B167E0">
        <w:rPr>
          <w:rFonts w:ascii="Palatino Linotype" w:hAnsi="Palatino Linotype"/>
          <w:sz w:val="22"/>
          <w:szCs w:val="22"/>
        </w:rPr>
        <w:t xml:space="preserve">, dostarczonych przez Wykonawcę, Zamawiający stwierdzi, iż produkty odbiegają </w:t>
      </w:r>
      <w:r w:rsidR="004D3040" w:rsidRPr="00B167E0">
        <w:rPr>
          <w:rFonts w:ascii="Palatino Linotype" w:hAnsi="Palatino Linotype"/>
          <w:sz w:val="22"/>
          <w:szCs w:val="22"/>
        </w:rPr>
        <w:t>niekorzystnie</w:t>
      </w:r>
      <w:r w:rsidR="009C1205" w:rsidRPr="00B167E0">
        <w:rPr>
          <w:rFonts w:ascii="Palatino Linotype" w:hAnsi="Palatino Linotype"/>
          <w:sz w:val="22"/>
          <w:szCs w:val="22"/>
        </w:rPr>
        <w:t xml:space="preserve">od </w:t>
      </w:r>
      <w:r w:rsidR="00E23094" w:rsidRPr="00B167E0">
        <w:rPr>
          <w:rFonts w:ascii="Palatino Linotype" w:hAnsi="Palatino Linotype"/>
          <w:sz w:val="22"/>
          <w:szCs w:val="22"/>
        </w:rPr>
        <w:t>parametrów wymaganych w SIWZ, W</w:t>
      </w:r>
      <w:r w:rsidRPr="00B167E0">
        <w:rPr>
          <w:rFonts w:ascii="Palatino Linotype" w:hAnsi="Palatino Linotype"/>
          <w:sz w:val="22"/>
          <w:szCs w:val="22"/>
        </w:rPr>
        <w:t xml:space="preserve">ykonawca będzie zobowiązanych w </w:t>
      </w:r>
      <w:r w:rsidR="004D3040" w:rsidRPr="00B167E0">
        <w:rPr>
          <w:rFonts w:ascii="Palatino Linotype" w:hAnsi="Palatino Linotype"/>
          <w:sz w:val="22"/>
          <w:szCs w:val="22"/>
        </w:rPr>
        <w:t>terminie</w:t>
      </w:r>
      <w:r w:rsidR="00732A8F" w:rsidRPr="00B167E0">
        <w:rPr>
          <w:rFonts w:ascii="Palatino Linotype" w:hAnsi="Palatino Linotype"/>
          <w:sz w:val="22"/>
          <w:szCs w:val="22"/>
        </w:rPr>
        <w:t xml:space="preserve"> do 2</w:t>
      </w:r>
      <w:r w:rsidRPr="00B167E0">
        <w:rPr>
          <w:rFonts w:ascii="Palatino Linotype" w:hAnsi="Palatino Linotype"/>
          <w:sz w:val="22"/>
          <w:szCs w:val="22"/>
        </w:rPr>
        <w:t xml:space="preserve"> dni od </w:t>
      </w:r>
      <w:r w:rsidR="004D3040" w:rsidRPr="00B167E0">
        <w:rPr>
          <w:rFonts w:ascii="Palatino Linotype" w:hAnsi="Palatino Linotype"/>
          <w:sz w:val="22"/>
          <w:szCs w:val="22"/>
        </w:rPr>
        <w:t>otrzymania</w:t>
      </w:r>
      <w:r w:rsidRPr="00B167E0">
        <w:rPr>
          <w:rFonts w:ascii="Palatino Linotype" w:hAnsi="Palatino Linotype"/>
          <w:sz w:val="22"/>
          <w:szCs w:val="22"/>
        </w:rPr>
        <w:t xml:space="preserve"> wezwania do wymiany dostarczonych materiałów </w:t>
      </w:r>
      <w:r w:rsidR="004D3040" w:rsidRPr="00B167E0">
        <w:rPr>
          <w:rFonts w:ascii="Palatino Linotype" w:hAnsi="Palatino Linotype"/>
          <w:sz w:val="22"/>
          <w:szCs w:val="22"/>
        </w:rPr>
        <w:t>eksploatacyjnychna</w:t>
      </w:r>
      <w:r w:rsidRPr="00B167E0">
        <w:rPr>
          <w:rFonts w:ascii="Palatino Linotype" w:hAnsi="Palatino Linotype"/>
          <w:sz w:val="22"/>
          <w:szCs w:val="22"/>
        </w:rPr>
        <w:t xml:space="preserve"> spełniające wymogi</w:t>
      </w:r>
      <w:r w:rsidR="00E5638F" w:rsidRPr="00B167E0">
        <w:rPr>
          <w:rFonts w:ascii="Palatino Linotype" w:hAnsi="Palatino Linotype"/>
          <w:sz w:val="22"/>
          <w:szCs w:val="22"/>
        </w:rPr>
        <w:t xml:space="preserve">. Wezwanie do wymiany będzie przekazane </w:t>
      </w:r>
      <w:r w:rsidR="004D3040" w:rsidRPr="00B167E0">
        <w:rPr>
          <w:rFonts w:ascii="Palatino Linotype" w:hAnsi="Palatino Linotype"/>
          <w:sz w:val="22"/>
          <w:szCs w:val="22"/>
        </w:rPr>
        <w:t>Wykonawcy</w:t>
      </w:r>
      <w:r w:rsidR="00E5638F" w:rsidRPr="00B167E0">
        <w:rPr>
          <w:rFonts w:ascii="Palatino Linotype" w:hAnsi="Palatino Linotype"/>
          <w:sz w:val="22"/>
          <w:szCs w:val="22"/>
        </w:rPr>
        <w:t xml:space="preserve"> przez </w:t>
      </w:r>
      <w:r w:rsidR="004D3040" w:rsidRPr="00B167E0">
        <w:rPr>
          <w:rFonts w:ascii="Palatino Linotype" w:hAnsi="Palatino Linotype"/>
          <w:sz w:val="22"/>
          <w:szCs w:val="22"/>
        </w:rPr>
        <w:t>osobę</w:t>
      </w:r>
      <w:r w:rsidR="00E5638F" w:rsidRPr="00B167E0">
        <w:rPr>
          <w:rFonts w:ascii="Palatino Linotype" w:hAnsi="Palatino Linotype"/>
          <w:sz w:val="22"/>
          <w:szCs w:val="22"/>
        </w:rPr>
        <w:t xml:space="preserve"> upoważnioną do </w:t>
      </w:r>
      <w:r w:rsidR="004D3040" w:rsidRPr="00B167E0">
        <w:rPr>
          <w:rFonts w:ascii="Palatino Linotype" w:hAnsi="Palatino Linotype"/>
          <w:sz w:val="22"/>
          <w:szCs w:val="22"/>
        </w:rPr>
        <w:t>reprezentowania</w:t>
      </w:r>
      <w:r w:rsidR="00E5638F" w:rsidRPr="00B167E0">
        <w:rPr>
          <w:rFonts w:ascii="Palatino Linotype" w:hAnsi="Palatino Linotype"/>
          <w:sz w:val="22"/>
          <w:szCs w:val="22"/>
        </w:rPr>
        <w:t xml:space="preserve"> Zamawiającego w sprawach realiz</w:t>
      </w:r>
      <w:r w:rsidR="00FA46DE" w:rsidRPr="00B167E0">
        <w:rPr>
          <w:rFonts w:ascii="Palatino Linotype" w:hAnsi="Palatino Linotype"/>
          <w:sz w:val="22"/>
          <w:szCs w:val="22"/>
        </w:rPr>
        <w:t>acji umowy pocztą elektroniczną</w:t>
      </w:r>
      <w:r w:rsidR="00E5638F" w:rsidRPr="00B167E0">
        <w:rPr>
          <w:rFonts w:ascii="Palatino Linotype" w:hAnsi="Palatino Linotype"/>
          <w:sz w:val="22"/>
          <w:szCs w:val="22"/>
        </w:rPr>
        <w:t>.</w:t>
      </w:r>
    </w:p>
    <w:p w:rsidR="008C2BDF" w:rsidRPr="00B167E0" w:rsidRDefault="008C2BDF"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 xml:space="preserve">Dostarczane materiały eksploatacyjne muszą znajdować się w oryginalnym, nienaruszonym opakowaniu fabrycznym, a także posiadać wszelkie zabezpieczenia stosowane przez producentów – hologramy oraz hermetyczne wewnętrzne opakowanie. Zarówno opakowanie jak i produkt nie mogą nosić śladów uszkodzenia. </w:t>
      </w:r>
    </w:p>
    <w:p w:rsidR="008C2BDF" w:rsidRPr="00B167E0" w:rsidRDefault="008C2BDF"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 xml:space="preserve">Materiały eksploatacyjne muszą posiadać na opakowaniu czytelną nazwę producenta </w:t>
      </w:r>
      <w:r w:rsidR="00EF0410">
        <w:rPr>
          <w:rFonts w:ascii="Palatino Linotype" w:hAnsi="Palatino Linotype"/>
          <w:sz w:val="22"/>
          <w:szCs w:val="22"/>
        </w:rPr>
        <w:br/>
      </w:r>
      <w:r w:rsidRPr="00B167E0">
        <w:rPr>
          <w:rFonts w:ascii="Palatino Linotype" w:hAnsi="Palatino Linotype"/>
          <w:sz w:val="22"/>
          <w:szCs w:val="22"/>
        </w:rPr>
        <w:t xml:space="preserve">i listę kompatybilności (lista typów drukarek do których dany materiał eksploatacyjny jest przystosowany) tj. kartę charakterystyki oraz termin ważności lub datę produkcji </w:t>
      </w:r>
      <w:r w:rsidR="00EF0410">
        <w:rPr>
          <w:rFonts w:ascii="Palatino Linotype" w:hAnsi="Palatino Linotype"/>
          <w:sz w:val="22"/>
          <w:szCs w:val="22"/>
        </w:rPr>
        <w:br/>
      </w:r>
      <w:r w:rsidRPr="00B167E0">
        <w:rPr>
          <w:rFonts w:ascii="Palatino Linotype" w:hAnsi="Palatino Linotype"/>
          <w:sz w:val="22"/>
          <w:szCs w:val="22"/>
        </w:rPr>
        <w:t xml:space="preserve">z okresem ważności. Muszą posiadać kartę gwarancyjną dostarczaną przy każdej partii materiałów eksploatacyjnych oraz załączoną do opakowania instrukcję montażu materiału w urządzeniu. </w:t>
      </w:r>
    </w:p>
    <w:p w:rsidR="008C2BDF" w:rsidRPr="00B167E0" w:rsidRDefault="008C2BDF"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 xml:space="preserve">Zamawiający nie określa kto (producent lub Wykonawca) sporządza kartę gwarancyjną </w:t>
      </w:r>
      <w:r w:rsidR="00EF0410">
        <w:rPr>
          <w:rFonts w:ascii="Palatino Linotype" w:hAnsi="Palatino Linotype"/>
          <w:sz w:val="22"/>
          <w:szCs w:val="22"/>
        </w:rPr>
        <w:br/>
      </w:r>
      <w:r w:rsidRPr="00B167E0">
        <w:rPr>
          <w:rFonts w:ascii="Palatino Linotype" w:hAnsi="Palatino Linotype"/>
          <w:sz w:val="22"/>
          <w:szCs w:val="22"/>
        </w:rPr>
        <w:t xml:space="preserve">i kartę charakterystyki. </w:t>
      </w:r>
    </w:p>
    <w:p w:rsidR="008C2BDF" w:rsidRPr="00EF0410" w:rsidRDefault="008C2BDF" w:rsidP="00055D0C">
      <w:pPr>
        <w:pStyle w:val="Akapitzlist"/>
        <w:spacing w:line="276" w:lineRule="auto"/>
        <w:ind w:left="360"/>
        <w:jc w:val="both"/>
        <w:rPr>
          <w:rFonts w:ascii="Palatino Linotype" w:hAnsi="Palatino Linotype"/>
          <w:sz w:val="22"/>
          <w:szCs w:val="22"/>
          <w:u w:val="single"/>
        </w:rPr>
      </w:pPr>
      <w:r w:rsidRPr="00EF0410">
        <w:rPr>
          <w:rFonts w:ascii="Palatino Linotype" w:hAnsi="Palatino Linotype"/>
          <w:sz w:val="22"/>
          <w:szCs w:val="22"/>
          <w:u w:val="single"/>
        </w:rPr>
        <w:t xml:space="preserve">Przez kartę gwarancyjną i kartę charakterystyki rozumie się: </w:t>
      </w:r>
    </w:p>
    <w:p w:rsidR="008C2BDF" w:rsidRPr="00B167E0" w:rsidRDefault="008C2BDF" w:rsidP="00055D0C">
      <w:pPr>
        <w:pStyle w:val="Akapitzlist"/>
        <w:spacing w:line="276" w:lineRule="auto"/>
        <w:ind w:left="360"/>
        <w:jc w:val="both"/>
        <w:rPr>
          <w:rFonts w:ascii="Palatino Linotype" w:hAnsi="Palatino Linotype"/>
          <w:sz w:val="22"/>
          <w:szCs w:val="22"/>
        </w:rPr>
      </w:pPr>
      <w:r w:rsidRPr="00B167E0">
        <w:rPr>
          <w:rFonts w:ascii="Palatino Linotype" w:hAnsi="Palatino Linotype"/>
          <w:sz w:val="22"/>
          <w:szCs w:val="22"/>
        </w:rPr>
        <w:t xml:space="preserve">1) Karta gwarancyjna jest pisemnym oświadczeniem gwaranta i musi zawierać: </w:t>
      </w:r>
    </w:p>
    <w:p w:rsidR="008C2BDF" w:rsidRPr="00B167E0" w:rsidRDefault="008C2BDF" w:rsidP="00055D0C">
      <w:pPr>
        <w:pStyle w:val="Akapitzlist"/>
        <w:spacing w:line="276" w:lineRule="auto"/>
        <w:ind w:left="360"/>
        <w:jc w:val="both"/>
        <w:rPr>
          <w:rFonts w:ascii="Palatino Linotype" w:hAnsi="Palatino Linotype"/>
          <w:sz w:val="22"/>
          <w:szCs w:val="22"/>
        </w:rPr>
      </w:pPr>
      <w:r w:rsidRPr="00B167E0">
        <w:rPr>
          <w:rFonts w:ascii="Palatino Linotype" w:hAnsi="Palatino Linotype"/>
          <w:sz w:val="22"/>
          <w:szCs w:val="22"/>
        </w:rPr>
        <w:t xml:space="preserve">a) nazwę i adres gwaranta; </w:t>
      </w:r>
    </w:p>
    <w:p w:rsidR="008C2BDF" w:rsidRPr="00B167E0" w:rsidRDefault="008C2BDF" w:rsidP="00055D0C">
      <w:pPr>
        <w:pStyle w:val="Akapitzlist"/>
        <w:spacing w:line="276" w:lineRule="auto"/>
        <w:ind w:left="360"/>
        <w:jc w:val="both"/>
        <w:rPr>
          <w:rFonts w:ascii="Palatino Linotype" w:hAnsi="Palatino Linotype"/>
          <w:sz w:val="22"/>
          <w:szCs w:val="22"/>
        </w:rPr>
      </w:pPr>
      <w:r w:rsidRPr="00B167E0">
        <w:rPr>
          <w:rFonts w:ascii="Palatino Linotype" w:hAnsi="Palatino Linotype"/>
          <w:sz w:val="22"/>
          <w:szCs w:val="22"/>
        </w:rPr>
        <w:t xml:space="preserve">b) datę zakupu; </w:t>
      </w:r>
    </w:p>
    <w:p w:rsidR="008C2BDF" w:rsidRPr="00B167E0" w:rsidRDefault="008C2BDF" w:rsidP="00055D0C">
      <w:pPr>
        <w:pStyle w:val="Akapitzlist"/>
        <w:spacing w:line="276" w:lineRule="auto"/>
        <w:ind w:left="360"/>
        <w:jc w:val="both"/>
        <w:rPr>
          <w:rFonts w:ascii="Palatino Linotype" w:hAnsi="Palatino Linotype"/>
          <w:sz w:val="22"/>
          <w:szCs w:val="22"/>
        </w:rPr>
      </w:pPr>
      <w:r w:rsidRPr="00B167E0">
        <w:rPr>
          <w:rFonts w:ascii="Palatino Linotype" w:hAnsi="Palatino Linotype"/>
          <w:sz w:val="22"/>
          <w:szCs w:val="22"/>
        </w:rPr>
        <w:t xml:space="preserve">c) określenie materiału eksploatacyjnego sprzedanego; </w:t>
      </w:r>
    </w:p>
    <w:p w:rsidR="008C2BDF" w:rsidRPr="00B167E0" w:rsidRDefault="008C2BDF" w:rsidP="00055D0C">
      <w:pPr>
        <w:pStyle w:val="Akapitzlist"/>
        <w:spacing w:line="276" w:lineRule="auto"/>
        <w:ind w:left="360"/>
        <w:jc w:val="both"/>
        <w:rPr>
          <w:rFonts w:ascii="Palatino Linotype" w:hAnsi="Palatino Linotype"/>
          <w:sz w:val="22"/>
          <w:szCs w:val="22"/>
        </w:rPr>
      </w:pPr>
      <w:r w:rsidRPr="00B167E0">
        <w:rPr>
          <w:rFonts w:ascii="Palatino Linotype" w:hAnsi="Palatino Linotype"/>
          <w:sz w:val="22"/>
          <w:szCs w:val="22"/>
        </w:rPr>
        <w:t xml:space="preserve">d) czas, na jaki gwarancja została udzielona; </w:t>
      </w:r>
    </w:p>
    <w:p w:rsidR="008C2BDF" w:rsidRPr="00B167E0" w:rsidRDefault="008C2BDF" w:rsidP="00055D0C">
      <w:pPr>
        <w:pStyle w:val="Akapitzlist"/>
        <w:spacing w:line="276" w:lineRule="auto"/>
        <w:ind w:left="360"/>
        <w:jc w:val="both"/>
        <w:rPr>
          <w:rFonts w:ascii="Palatino Linotype" w:hAnsi="Palatino Linotype"/>
          <w:sz w:val="22"/>
          <w:szCs w:val="22"/>
        </w:rPr>
      </w:pPr>
      <w:r w:rsidRPr="00B167E0">
        <w:rPr>
          <w:rFonts w:ascii="Palatino Linotype" w:hAnsi="Palatino Linotype"/>
          <w:sz w:val="22"/>
          <w:szCs w:val="22"/>
        </w:rPr>
        <w:t xml:space="preserve">e) zobowiązania gwaranta. </w:t>
      </w:r>
    </w:p>
    <w:p w:rsidR="008C2BDF" w:rsidRPr="00B167E0" w:rsidRDefault="008C2BDF" w:rsidP="00055D0C">
      <w:pPr>
        <w:pStyle w:val="Akapitzlist"/>
        <w:spacing w:line="276" w:lineRule="auto"/>
        <w:ind w:left="360"/>
        <w:jc w:val="both"/>
        <w:rPr>
          <w:rFonts w:ascii="Palatino Linotype" w:hAnsi="Palatino Linotype"/>
          <w:sz w:val="22"/>
          <w:szCs w:val="22"/>
        </w:rPr>
      </w:pPr>
      <w:r w:rsidRPr="00B167E0">
        <w:rPr>
          <w:rFonts w:ascii="Palatino Linotype" w:hAnsi="Palatino Linotype"/>
          <w:sz w:val="22"/>
          <w:szCs w:val="22"/>
        </w:rPr>
        <w:t xml:space="preserve">2) Karta charakterystyki musi zawierać informację: </w:t>
      </w:r>
    </w:p>
    <w:p w:rsidR="008C2BDF" w:rsidRPr="00B167E0" w:rsidRDefault="008C2BDF" w:rsidP="00055D0C">
      <w:pPr>
        <w:pStyle w:val="Akapitzlist"/>
        <w:spacing w:line="276" w:lineRule="auto"/>
        <w:ind w:left="360"/>
        <w:jc w:val="both"/>
        <w:rPr>
          <w:rFonts w:ascii="Palatino Linotype" w:hAnsi="Palatino Linotype"/>
          <w:sz w:val="22"/>
          <w:szCs w:val="22"/>
        </w:rPr>
      </w:pPr>
      <w:r w:rsidRPr="00B167E0">
        <w:rPr>
          <w:rFonts w:ascii="Palatino Linotype" w:hAnsi="Palatino Linotype"/>
          <w:sz w:val="22"/>
          <w:szCs w:val="22"/>
        </w:rPr>
        <w:t xml:space="preserve">a) nazwę materiału eksploatacyjnego, </w:t>
      </w:r>
    </w:p>
    <w:p w:rsidR="008C2BDF" w:rsidRPr="00B167E0" w:rsidRDefault="008C2BDF" w:rsidP="00055D0C">
      <w:pPr>
        <w:pStyle w:val="Akapitzlist"/>
        <w:spacing w:line="276" w:lineRule="auto"/>
        <w:ind w:left="360"/>
        <w:jc w:val="both"/>
        <w:rPr>
          <w:rFonts w:ascii="Palatino Linotype" w:hAnsi="Palatino Linotype"/>
          <w:sz w:val="22"/>
          <w:szCs w:val="22"/>
        </w:rPr>
      </w:pPr>
      <w:r w:rsidRPr="00B167E0">
        <w:rPr>
          <w:rFonts w:ascii="Palatino Linotype" w:hAnsi="Palatino Linotype"/>
          <w:sz w:val="22"/>
          <w:szCs w:val="22"/>
        </w:rPr>
        <w:t xml:space="preserve">b) symbol materiału eksploatacyjnego, </w:t>
      </w:r>
    </w:p>
    <w:p w:rsidR="008C2BDF" w:rsidRPr="00B167E0" w:rsidRDefault="008C2BDF" w:rsidP="00055D0C">
      <w:pPr>
        <w:pStyle w:val="Akapitzlist"/>
        <w:spacing w:line="276" w:lineRule="auto"/>
        <w:ind w:left="360"/>
        <w:jc w:val="both"/>
        <w:rPr>
          <w:rFonts w:ascii="Palatino Linotype" w:hAnsi="Palatino Linotype"/>
          <w:sz w:val="22"/>
          <w:szCs w:val="22"/>
        </w:rPr>
      </w:pPr>
      <w:r w:rsidRPr="00B167E0">
        <w:rPr>
          <w:rFonts w:ascii="Palatino Linotype" w:hAnsi="Palatino Linotype"/>
          <w:sz w:val="22"/>
          <w:szCs w:val="22"/>
        </w:rPr>
        <w:t xml:space="preserve">c) typ urządzenia (drukarki, kserokopiarki, powielacza, faksu) dla którego został wyprodukowany materiał eksploatacyjny, </w:t>
      </w:r>
    </w:p>
    <w:p w:rsidR="008C2BDF" w:rsidRPr="00B167E0" w:rsidRDefault="008C2BDF" w:rsidP="00055D0C">
      <w:pPr>
        <w:pStyle w:val="Akapitzlist"/>
        <w:spacing w:line="276" w:lineRule="auto"/>
        <w:ind w:left="360"/>
        <w:jc w:val="both"/>
        <w:rPr>
          <w:rFonts w:ascii="Palatino Linotype" w:hAnsi="Palatino Linotype"/>
          <w:sz w:val="22"/>
          <w:szCs w:val="22"/>
        </w:rPr>
      </w:pPr>
      <w:r w:rsidRPr="00B167E0">
        <w:rPr>
          <w:rFonts w:ascii="Palatino Linotype" w:hAnsi="Palatino Linotype"/>
          <w:sz w:val="22"/>
          <w:szCs w:val="22"/>
        </w:rPr>
        <w:t>− kartą charakterystyki może być również firmowe opakowanie produktu, na którym zawarte będą ww. informacje.</w:t>
      </w:r>
    </w:p>
    <w:p w:rsidR="00E5638F" w:rsidRPr="00B167E0" w:rsidRDefault="00E5638F"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 xml:space="preserve">Zamawiający nie dopuszcza oferowania </w:t>
      </w:r>
      <w:r w:rsidR="0017566B" w:rsidRPr="00B167E0">
        <w:rPr>
          <w:rFonts w:ascii="Palatino Linotype" w:hAnsi="Palatino Linotype"/>
          <w:sz w:val="22"/>
          <w:szCs w:val="22"/>
        </w:rPr>
        <w:t>materiałów eksploatacyjnych</w:t>
      </w:r>
      <w:r w:rsidRPr="00B167E0">
        <w:rPr>
          <w:rFonts w:ascii="Palatino Linotype" w:hAnsi="Palatino Linotype"/>
          <w:sz w:val="22"/>
          <w:szCs w:val="22"/>
        </w:rPr>
        <w:t xml:space="preserve"> regenerowanych, poddawanych procesom ponownego napełniania bądź wymiany jakichkolwiek elementów.</w:t>
      </w:r>
    </w:p>
    <w:p w:rsidR="00E5638F" w:rsidRPr="00B167E0" w:rsidRDefault="00E5638F"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lastRenderedPageBreak/>
        <w:t xml:space="preserve">Wykonawca gwarantuje, że dostarczone </w:t>
      </w:r>
      <w:r w:rsidR="0017566B" w:rsidRPr="00B167E0">
        <w:rPr>
          <w:rFonts w:ascii="Palatino Linotype" w:hAnsi="Palatino Linotype"/>
          <w:sz w:val="22"/>
          <w:szCs w:val="22"/>
        </w:rPr>
        <w:t>materiały eksploatacyjne</w:t>
      </w:r>
      <w:r w:rsidRPr="00B167E0">
        <w:rPr>
          <w:rFonts w:ascii="Palatino Linotype" w:hAnsi="Palatino Linotype"/>
          <w:sz w:val="22"/>
          <w:szCs w:val="22"/>
        </w:rPr>
        <w:t xml:space="preserve"> będą wysokiej jakości oraz zapewniają kompatybilność </w:t>
      </w:r>
      <w:r w:rsidR="004D3040" w:rsidRPr="00B167E0">
        <w:rPr>
          <w:rFonts w:ascii="Palatino Linotype" w:hAnsi="Palatino Linotype"/>
          <w:sz w:val="22"/>
          <w:szCs w:val="22"/>
        </w:rPr>
        <w:t>pracy</w:t>
      </w:r>
      <w:r w:rsidRPr="00B167E0">
        <w:rPr>
          <w:rFonts w:ascii="Palatino Linotype" w:hAnsi="Palatino Linotype"/>
          <w:sz w:val="22"/>
          <w:szCs w:val="22"/>
        </w:rPr>
        <w:t xml:space="preserve"> z urządzenia</w:t>
      </w:r>
      <w:r w:rsidR="009C1205" w:rsidRPr="00B167E0">
        <w:rPr>
          <w:rFonts w:ascii="Palatino Linotype" w:hAnsi="Palatino Linotype"/>
          <w:sz w:val="22"/>
          <w:szCs w:val="22"/>
        </w:rPr>
        <w:t>mi</w:t>
      </w:r>
      <w:r w:rsidR="004D3040" w:rsidRPr="00B167E0">
        <w:rPr>
          <w:rFonts w:ascii="Palatino Linotype" w:hAnsi="Palatino Linotype"/>
          <w:sz w:val="22"/>
          <w:szCs w:val="22"/>
        </w:rPr>
        <w:t>Zamawiającego</w:t>
      </w:r>
      <w:r w:rsidRPr="00B167E0">
        <w:rPr>
          <w:rFonts w:ascii="Palatino Linotype" w:hAnsi="Palatino Linotype"/>
          <w:sz w:val="22"/>
          <w:szCs w:val="22"/>
        </w:rPr>
        <w:t xml:space="preserve">, należyte </w:t>
      </w:r>
      <w:r w:rsidR="004D3040" w:rsidRPr="00B167E0">
        <w:rPr>
          <w:rFonts w:ascii="Palatino Linotype" w:hAnsi="Palatino Linotype"/>
          <w:sz w:val="22"/>
          <w:szCs w:val="22"/>
        </w:rPr>
        <w:t>bezpieczeństwo</w:t>
      </w:r>
      <w:r w:rsidRPr="00B167E0">
        <w:rPr>
          <w:rFonts w:ascii="Palatino Linotype" w:hAnsi="Palatino Linotype"/>
          <w:sz w:val="22"/>
          <w:szCs w:val="22"/>
        </w:rPr>
        <w:t xml:space="preserve"> i bezawaryjn</w:t>
      </w:r>
      <w:r w:rsidR="009C1205" w:rsidRPr="00B167E0">
        <w:rPr>
          <w:rFonts w:ascii="Palatino Linotype" w:hAnsi="Palatino Linotype"/>
          <w:sz w:val="22"/>
          <w:szCs w:val="22"/>
        </w:rPr>
        <w:t>ą p</w:t>
      </w:r>
      <w:r w:rsidRPr="00B167E0">
        <w:rPr>
          <w:rFonts w:ascii="Palatino Linotype" w:hAnsi="Palatino Linotype"/>
          <w:sz w:val="22"/>
          <w:szCs w:val="22"/>
        </w:rPr>
        <w:t>rac</w:t>
      </w:r>
      <w:r w:rsidR="009C1205" w:rsidRPr="00B167E0">
        <w:rPr>
          <w:rFonts w:ascii="Palatino Linotype" w:hAnsi="Palatino Linotype"/>
          <w:sz w:val="22"/>
          <w:szCs w:val="22"/>
        </w:rPr>
        <w:t xml:space="preserve">ę </w:t>
      </w:r>
      <w:r w:rsidRPr="00B167E0">
        <w:rPr>
          <w:rFonts w:ascii="Palatino Linotype" w:hAnsi="Palatino Linotype"/>
          <w:sz w:val="22"/>
          <w:szCs w:val="22"/>
        </w:rPr>
        <w:t xml:space="preserve">tych urządzeń, do których </w:t>
      </w:r>
      <w:r w:rsidR="004D3040" w:rsidRPr="00B167E0">
        <w:rPr>
          <w:rFonts w:ascii="Palatino Linotype" w:hAnsi="Palatino Linotype"/>
          <w:sz w:val="22"/>
          <w:szCs w:val="22"/>
        </w:rPr>
        <w:t>są</w:t>
      </w:r>
      <w:r w:rsidRPr="00B167E0">
        <w:rPr>
          <w:rFonts w:ascii="Palatino Linotype" w:hAnsi="Palatino Linotype"/>
          <w:sz w:val="22"/>
          <w:szCs w:val="22"/>
        </w:rPr>
        <w:t xml:space="preserve"> przeznaczone, nie powodują naruszenia prawpatentowych producentów urządzeń oraz uprawnień </w:t>
      </w:r>
      <w:r w:rsidR="004D3040" w:rsidRPr="00B167E0">
        <w:rPr>
          <w:rFonts w:ascii="Palatino Linotype" w:hAnsi="Palatino Linotype"/>
          <w:sz w:val="22"/>
          <w:szCs w:val="22"/>
        </w:rPr>
        <w:t>Zamawiającego</w:t>
      </w:r>
      <w:r w:rsidRPr="00B167E0">
        <w:rPr>
          <w:rFonts w:ascii="Palatino Linotype" w:hAnsi="Palatino Linotype"/>
          <w:sz w:val="22"/>
          <w:szCs w:val="22"/>
        </w:rPr>
        <w:t xml:space="preserve">, wynikających z gwarancji producenta urządzenia, w którym materiały dostarczone </w:t>
      </w:r>
      <w:r w:rsidR="004D3040" w:rsidRPr="00B167E0">
        <w:rPr>
          <w:rFonts w:ascii="Palatino Linotype" w:hAnsi="Palatino Linotype"/>
          <w:sz w:val="22"/>
          <w:szCs w:val="22"/>
        </w:rPr>
        <w:t>poprzezWykonawcę</w:t>
      </w:r>
      <w:r w:rsidRPr="00B167E0">
        <w:rPr>
          <w:rFonts w:ascii="Palatino Linotype" w:hAnsi="Palatino Linotype"/>
          <w:sz w:val="22"/>
          <w:szCs w:val="22"/>
        </w:rPr>
        <w:t xml:space="preserve"> będą </w:t>
      </w:r>
      <w:r w:rsidR="004D3040" w:rsidRPr="00B167E0">
        <w:rPr>
          <w:rFonts w:ascii="Palatino Linotype" w:hAnsi="Palatino Linotype"/>
          <w:sz w:val="22"/>
          <w:szCs w:val="22"/>
        </w:rPr>
        <w:t>eksploatowane</w:t>
      </w:r>
      <w:r w:rsidRPr="00B167E0">
        <w:rPr>
          <w:rFonts w:ascii="Palatino Linotype" w:hAnsi="Palatino Linotype"/>
          <w:sz w:val="22"/>
          <w:szCs w:val="22"/>
        </w:rPr>
        <w:t>.</w:t>
      </w:r>
    </w:p>
    <w:p w:rsidR="00D575B3" w:rsidRPr="00B167E0" w:rsidRDefault="00D575B3" w:rsidP="00055D0C">
      <w:pPr>
        <w:pStyle w:val="Akapitzlist"/>
        <w:spacing w:line="276" w:lineRule="auto"/>
        <w:ind w:left="360"/>
        <w:jc w:val="both"/>
        <w:rPr>
          <w:rFonts w:ascii="Palatino Linotype" w:hAnsi="Palatino Linotype"/>
          <w:sz w:val="22"/>
          <w:szCs w:val="22"/>
        </w:rPr>
      </w:pPr>
      <w:r w:rsidRPr="00B167E0">
        <w:rPr>
          <w:rFonts w:ascii="Palatino Linotype" w:hAnsi="Palatino Linotype"/>
          <w:sz w:val="22"/>
          <w:szCs w:val="22"/>
        </w:rPr>
        <w:t>Oferowane przez wykonawcę materiały eksploatacyjne muszą posiadać wydajność zgodną z następującymi normami (lub równoważnymi do nich):</w:t>
      </w:r>
    </w:p>
    <w:p w:rsidR="00E5638F" w:rsidRPr="00B167E0" w:rsidRDefault="00E5638F" w:rsidP="00055D0C">
      <w:pPr>
        <w:pStyle w:val="Akapitzlist"/>
        <w:spacing w:line="276" w:lineRule="auto"/>
        <w:ind w:left="360"/>
        <w:jc w:val="both"/>
        <w:rPr>
          <w:rFonts w:ascii="Palatino Linotype" w:hAnsi="Palatino Linotype"/>
          <w:sz w:val="22"/>
          <w:szCs w:val="22"/>
        </w:rPr>
      </w:pPr>
      <w:r w:rsidRPr="00EF0410">
        <w:rPr>
          <w:rFonts w:ascii="Palatino Linotype" w:hAnsi="Palatino Linotype"/>
          <w:b/>
          <w:sz w:val="22"/>
          <w:szCs w:val="22"/>
        </w:rPr>
        <w:t>ISO/IEC 19752</w:t>
      </w:r>
      <w:r w:rsidRPr="00B167E0">
        <w:rPr>
          <w:rFonts w:ascii="Palatino Linotype" w:hAnsi="Palatino Linotype"/>
          <w:sz w:val="22"/>
          <w:szCs w:val="22"/>
        </w:rPr>
        <w:t xml:space="preserve"> – norma pomiarów wydajności kaset z tonerem do mono</w:t>
      </w:r>
      <w:r w:rsidR="00C414AF" w:rsidRPr="00B167E0">
        <w:rPr>
          <w:rFonts w:ascii="Palatino Linotype" w:hAnsi="Palatino Linotype"/>
          <w:sz w:val="22"/>
          <w:szCs w:val="22"/>
        </w:rPr>
        <w:t xml:space="preserve">chromatycznych drukarek </w:t>
      </w:r>
      <w:r w:rsidR="00610D0F" w:rsidRPr="00B167E0">
        <w:rPr>
          <w:rFonts w:ascii="Palatino Linotype" w:hAnsi="Palatino Linotype"/>
          <w:sz w:val="22"/>
          <w:szCs w:val="22"/>
        </w:rPr>
        <w:t>laserowych oraz komponentów drukujących w dowolnym urządzeniu wielofunkcyjnym, które posiada cyfrową ścieżkę wydruku (np. wielofunkcyjne urządzenia posiadające komponenty drukarkowe);</w:t>
      </w:r>
    </w:p>
    <w:p w:rsidR="00610D0F" w:rsidRPr="00B167E0" w:rsidRDefault="00610D0F" w:rsidP="00055D0C">
      <w:pPr>
        <w:pStyle w:val="Akapitzlist"/>
        <w:spacing w:line="276" w:lineRule="auto"/>
        <w:ind w:left="360"/>
        <w:jc w:val="both"/>
        <w:rPr>
          <w:rFonts w:ascii="Palatino Linotype" w:hAnsi="Palatino Linotype"/>
          <w:sz w:val="22"/>
          <w:szCs w:val="22"/>
        </w:rPr>
      </w:pPr>
      <w:r w:rsidRPr="00EF0410">
        <w:rPr>
          <w:rFonts w:ascii="Palatino Linotype" w:hAnsi="Palatino Linotype"/>
          <w:b/>
          <w:sz w:val="22"/>
          <w:szCs w:val="22"/>
        </w:rPr>
        <w:t>ISO/IEC 19798</w:t>
      </w:r>
      <w:r w:rsidRPr="00B167E0">
        <w:rPr>
          <w:rFonts w:ascii="Palatino Linotype" w:hAnsi="Palatino Linotype"/>
          <w:sz w:val="22"/>
          <w:szCs w:val="22"/>
        </w:rPr>
        <w:t xml:space="preserve"> – norma pomiarów wydajności kaset z tonerem do </w:t>
      </w:r>
      <w:r w:rsidR="004D3040" w:rsidRPr="00B167E0">
        <w:rPr>
          <w:rFonts w:ascii="Palatino Linotype" w:hAnsi="Palatino Linotype"/>
          <w:sz w:val="22"/>
          <w:szCs w:val="22"/>
        </w:rPr>
        <w:t>kolorowych</w:t>
      </w:r>
      <w:r w:rsidRPr="00B167E0">
        <w:rPr>
          <w:rFonts w:ascii="Palatino Linotype" w:hAnsi="Palatino Linotype"/>
          <w:sz w:val="22"/>
          <w:szCs w:val="22"/>
        </w:rPr>
        <w:t xml:space="preserve"> drukarek laserowych oraz komponentów drukujących w dowolnym urządzeniu wielofunkcyjnym, które posiada cyfrową ścieżkę wydruku (np. wielofunkcyjne urządzenia posiadające komponenty drukarkowe);</w:t>
      </w:r>
    </w:p>
    <w:p w:rsidR="004D3040" w:rsidRPr="00B167E0" w:rsidRDefault="004D3040" w:rsidP="00055D0C">
      <w:pPr>
        <w:pStyle w:val="Akapitzlist"/>
        <w:spacing w:line="276" w:lineRule="auto"/>
        <w:ind w:left="360"/>
        <w:jc w:val="both"/>
        <w:rPr>
          <w:rFonts w:ascii="Palatino Linotype" w:hAnsi="Palatino Linotype"/>
          <w:sz w:val="22"/>
          <w:szCs w:val="22"/>
        </w:rPr>
      </w:pPr>
      <w:r w:rsidRPr="00EF0410">
        <w:rPr>
          <w:rFonts w:ascii="Palatino Linotype" w:hAnsi="Palatino Linotype"/>
          <w:b/>
          <w:sz w:val="22"/>
          <w:szCs w:val="22"/>
        </w:rPr>
        <w:t>ISO/EIC 24711</w:t>
      </w:r>
      <w:r w:rsidRPr="00B167E0">
        <w:rPr>
          <w:rFonts w:ascii="Palatino Linotype" w:hAnsi="Palatino Linotype"/>
          <w:sz w:val="22"/>
          <w:szCs w:val="22"/>
        </w:rPr>
        <w:t xml:space="preserve"> - norma pomiarów wydajności dla kolorowych </w:t>
      </w:r>
      <w:r w:rsidR="00B44ADC" w:rsidRPr="00B167E0">
        <w:rPr>
          <w:rFonts w:ascii="Palatino Linotype" w:hAnsi="Palatino Linotype"/>
          <w:sz w:val="22"/>
          <w:szCs w:val="22"/>
        </w:rPr>
        <w:t>kartridżów</w:t>
      </w:r>
      <w:r w:rsidRPr="00B167E0">
        <w:rPr>
          <w:rFonts w:ascii="Palatino Linotype" w:hAnsi="Palatino Linotype"/>
          <w:sz w:val="22"/>
          <w:szCs w:val="22"/>
        </w:rPr>
        <w:t xml:space="preserve"> atramentowych oraz komponentów drukujących w dowolnym urządzeniu wielofunkcyjnym, które posiada cyfrową ścieżkę wydruku (np. wielofunkcyjne urządzenia posiadające komponenty drukarkowe);</w:t>
      </w:r>
    </w:p>
    <w:p w:rsidR="004D3040" w:rsidRPr="00B167E0" w:rsidRDefault="004D3040" w:rsidP="00055D0C">
      <w:pPr>
        <w:pStyle w:val="Akapitzlist"/>
        <w:spacing w:line="276" w:lineRule="auto"/>
        <w:ind w:left="360"/>
        <w:jc w:val="both"/>
        <w:rPr>
          <w:rFonts w:ascii="Palatino Linotype" w:hAnsi="Palatino Linotype"/>
          <w:sz w:val="22"/>
          <w:szCs w:val="22"/>
        </w:rPr>
      </w:pPr>
      <w:r w:rsidRPr="00EF0410">
        <w:rPr>
          <w:rFonts w:ascii="Palatino Linotype" w:hAnsi="Palatino Linotype"/>
          <w:b/>
          <w:sz w:val="22"/>
          <w:szCs w:val="22"/>
        </w:rPr>
        <w:t>ISO/EIC 24712</w:t>
      </w:r>
      <w:r w:rsidRPr="00B167E0">
        <w:rPr>
          <w:rFonts w:ascii="Palatino Linotype" w:hAnsi="Palatino Linotype"/>
          <w:sz w:val="22"/>
          <w:szCs w:val="22"/>
        </w:rPr>
        <w:t xml:space="preserve"> - norma pomiarów wydajności dla kolorowych </w:t>
      </w:r>
      <w:r w:rsidR="00B44ADC" w:rsidRPr="00B167E0">
        <w:rPr>
          <w:rFonts w:ascii="Palatino Linotype" w:hAnsi="Palatino Linotype"/>
          <w:sz w:val="22"/>
          <w:szCs w:val="22"/>
        </w:rPr>
        <w:t>kartridżów</w:t>
      </w:r>
      <w:r w:rsidRPr="00B167E0">
        <w:rPr>
          <w:rFonts w:ascii="Palatino Linotype" w:hAnsi="Palatino Linotype"/>
          <w:sz w:val="22"/>
          <w:szCs w:val="22"/>
        </w:rPr>
        <w:t xml:space="preserve"> tonerowych oraz komponentów drukujących w dowolnym urządzeniu wielofunkcyjnym, które posiada cyfrową ścieżkę wydruku (np. wielofunkcyjne urządzenia posiadające komponenty drukarkowe);</w:t>
      </w:r>
    </w:p>
    <w:p w:rsidR="0032676E" w:rsidRPr="00B167E0" w:rsidRDefault="0032676E"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 xml:space="preserve">Wykonawca oświadcza, że bierze na siebie pełną odpowiedzialność za uszkodzenia sprzętu Zamawiającego spowodowane używaniem dostarczonych materiałów eksploatacyjnych, niezależnie od tego czy sprzęt jest objęty gwarancją producenta czy </w:t>
      </w:r>
      <w:r w:rsidR="00EF0410">
        <w:rPr>
          <w:rFonts w:ascii="Palatino Linotype" w:hAnsi="Palatino Linotype"/>
          <w:sz w:val="22"/>
          <w:szCs w:val="22"/>
        </w:rPr>
        <w:br/>
      </w:r>
      <w:r w:rsidRPr="00B167E0">
        <w:rPr>
          <w:rFonts w:ascii="Palatino Linotype" w:hAnsi="Palatino Linotype"/>
          <w:sz w:val="22"/>
          <w:szCs w:val="22"/>
        </w:rPr>
        <w:t>w okresie pogwarancyjnym.</w:t>
      </w:r>
    </w:p>
    <w:p w:rsidR="0032676E" w:rsidRPr="00B167E0" w:rsidRDefault="0032676E"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Wykonawca zobowiązuje się, że w przypadku, gdy sprzęt ulegnie uszkodzeniu (drukarka, kserokopiarka, urządzenie wielofunkcyjne lub faks), a uszkodzenie nastąpiło w wyniku  stosowania i używania równoważnych materiałów eksploatacyjnych dostarczonych przez Wykonawcę, do pokrycia kosztów dostawy urządzenia do punktu serwi</w:t>
      </w:r>
      <w:r w:rsidR="00EF0410">
        <w:rPr>
          <w:rFonts w:ascii="Palatino Linotype" w:hAnsi="Palatino Linotype"/>
          <w:sz w:val="22"/>
          <w:szCs w:val="22"/>
        </w:rPr>
        <w:t xml:space="preserve">sowego (naprawczego) </w:t>
      </w:r>
      <w:r w:rsidRPr="00B167E0">
        <w:rPr>
          <w:rFonts w:ascii="Palatino Linotype" w:hAnsi="Palatino Linotype"/>
          <w:sz w:val="22"/>
          <w:szCs w:val="22"/>
        </w:rPr>
        <w:t xml:space="preserve">i kosztów naprawy, a w przypadku takiej konieczności -  także zwrotu kosztów zleconej przez Zamawiającego ekspertyzy. Za uszkodzenie uważa się również zanieczyszczenie sprzętu drukującego powodujące konieczność czyszczenia  konserwacji wszelkich części i mechanizmów urządzenia. Za podstawę żądania przez Zamawiającego naprawy urządzenia i pokrycia przez Wykonawcę kosztów dostawy urządzenia </w:t>
      </w:r>
      <w:r w:rsidR="00EF0410">
        <w:rPr>
          <w:rFonts w:ascii="Palatino Linotype" w:hAnsi="Palatino Linotype"/>
          <w:sz w:val="22"/>
          <w:szCs w:val="22"/>
        </w:rPr>
        <w:br/>
      </w:r>
      <w:r w:rsidRPr="00B167E0">
        <w:rPr>
          <w:rFonts w:ascii="Palatino Linotype" w:hAnsi="Palatino Linotype"/>
          <w:sz w:val="22"/>
          <w:szCs w:val="22"/>
        </w:rPr>
        <w:t xml:space="preserve">do punktu serwisowego (naprawczego)  oraz kosztów naprawy urządzenia, uważa </w:t>
      </w:r>
      <w:r w:rsidR="00EF0410">
        <w:rPr>
          <w:rFonts w:ascii="Palatino Linotype" w:hAnsi="Palatino Linotype"/>
          <w:sz w:val="22"/>
          <w:szCs w:val="22"/>
        </w:rPr>
        <w:br/>
      </w:r>
      <w:r w:rsidRPr="00B167E0">
        <w:rPr>
          <w:rFonts w:ascii="Palatino Linotype" w:hAnsi="Palatino Linotype"/>
          <w:sz w:val="22"/>
          <w:szCs w:val="22"/>
        </w:rPr>
        <w:t xml:space="preserve">się pisemną opinię autoryzowanego serwisu producenta  urządzenia.   </w:t>
      </w:r>
    </w:p>
    <w:p w:rsidR="00C770BB" w:rsidRPr="001F787C" w:rsidRDefault="0032676E" w:rsidP="00C770BB">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lastRenderedPageBreak/>
        <w:t>Wykonawca zobowiązuje się, że w przypadku, gdy czas naprawy uszkodzonego sprzętu Zamawiającego, w wyniku zastosowania materiałów równoważnych dostarczonych przez Wykonawcę, w autoryzowanym serwisie przekroczy 48 godzin od momentu zgłoszenia, Wykonawca będzie zobowiązany do nieodpłatnego dostarczenia na czas naprawy innego, nie gorszego sprzętu gotowego do pracy (wraz z materiałami eksploatacyjnymi).</w:t>
      </w:r>
      <w:bookmarkStart w:id="0" w:name="_GoBack"/>
      <w:bookmarkEnd w:id="0"/>
    </w:p>
    <w:p w:rsidR="0032676E" w:rsidRPr="00B167E0" w:rsidRDefault="0032676E"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 xml:space="preserve">Wykonawca zobowiązuje się do wymiany na własny koszt uszkodzonego urządzenia </w:t>
      </w:r>
      <w:r w:rsidR="00EF0410">
        <w:rPr>
          <w:rFonts w:ascii="Palatino Linotype" w:hAnsi="Palatino Linotype"/>
          <w:sz w:val="22"/>
          <w:szCs w:val="22"/>
        </w:rPr>
        <w:br/>
        <w:t xml:space="preserve">na nowe </w:t>
      </w:r>
      <w:r w:rsidRPr="00B167E0">
        <w:rPr>
          <w:rFonts w:ascii="Palatino Linotype" w:hAnsi="Palatino Linotype"/>
          <w:sz w:val="22"/>
          <w:szCs w:val="22"/>
        </w:rPr>
        <w:t>o takich samych parametrach i cechach lub lepszych, jeżeli w przypadku danego urządzenia konieczna będzie trzecia naprawa z powodu stosowania równoważnych materiałów eksploatacyjnych dostarczonych przez Wykonawcę  bądź jeżeli którakolwiek naprawa, bez względu na jej numer porządkowy, będzie ekonomicznie nieopłacalna.</w:t>
      </w:r>
    </w:p>
    <w:p w:rsidR="0032676E" w:rsidRPr="00B167E0" w:rsidRDefault="0032676E" w:rsidP="00055D0C">
      <w:pPr>
        <w:pStyle w:val="Akapitzlist"/>
        <w:numPr>
          <w:ilvl w:val="0"/>
          <w:numId w:val="6"/>
        </w:numPr>
        <w:spacing w:line="276" w:lineRule="auto"/>
        <w:jc w:val="both"/>
        <w:rPr>
          <w:rFonts w:ascii="Palatino Linotype" w:hAnsi="Palatino Linotype"/>
          <w:sz w:val="22"/>
          <w:szCs w:val="22"/>
        </w:rPr>
      </w:pPr>
      <w:r w:rsidRPr="00B167E0">
        <w:rPr>
          <w:rFonts w:ascii="Palatino Linotype" w:hAnsi="Palatino Linotype"/>
          <w:sz w:val="22"/>
          <w:szCs w:val="22"/>
        </w:rPr>
        <w:t>Wykonawca oświadcza, że w przypadku utraty przez Za</w:t>
      </w:r>
      <w:r w:rsidR="00EF0410">
        <w:rPr>
          <w:rFonts w:ascii="Palatino Linotype" w:hAnsi="Palatino Linotype"/>
          <w:sz w:val="22"/>
          <w:szCs w:val="22"/>
        </w:rPr>
        <w:t xml:space="preserve">mawiającego praw gwarancyjnych </w:t>
      </w:r>
      <w:r w:rsidRPr="00B167E0">
        <w:rPr>
          <w:rFonts w:ascii="Palatino Linotype" w:hAnsi="Palatino Linotype"/>
          <w:sz w:val="22"/>
          <w:szCs w:val="22"/>
        </w:rPr>
        <w:t xml:space="preserve">z powodu zamontowania i użytkowania oferowanych przez Wykonawcę równoważnych materiałów eksploatacyjnych Wykonawca przejmie wszystkie zobowiązania gwarancyjne producenta. Pisemną opinię, czy materiał eksploatacyjny spowodował utratę praw gwarancyjnych wyda autoryzowany serwis urządzenia.       </w:t>
      </w:r>
    </w:p>
    <w:p w:rsidR="00C839EC" w:rsidRPr="00B167E0" w:rsidRDefault="00C839EC" w:rsidP="00055D0C">
      <w:pPr>
        <w:spacing w:line="276" w:lineRule="auto"/>
        <w:jc w:val="both"/>
        <w:rPr>
          <w:rFonts w:ascii="Palatino Linotype" w:hAnsi="Palatino Linotype"/>
          <w:sz w:val="22"/>
          <w:szCs w:val="22"/>
        </w:rPr>
      </w:pPr>
    </w:p>
    <w:sectPr w:rsidR="00C839EC" w:rsidRPr="00B167E0" w:rsidSect="0020177E">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EFC" w:rsidRDefault="00825EFC" w:rsidP="009C1205">
      <w:r>
        <w:separator/>
      </w:r>
    </w:p>
  </w:endnote>
  <w:endnote w:type="continuationSeparator" w:id="1">
    <w:p w:rsidR="00825EFC" w:rsidRDefault="00825EFC" w:rsidP="009C1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769880"/>
      <w:docPartObj>
        <w:docPartGallery w:val="Page Numbers (Bottom of Page)"/>
        <w:docPartUnique/>
      </w:docPartObj>
    </w:sdtPr>
    <w:sdtContent>
      <w:p w:rsidR="009C0138" w:rsidRDefault="0020177E">
        <w:pPr>
          <w:pStyle w:val="Stopka"/>
          <w:jc w:val="right"/>
        </w:pPr>
        <w:r>
          <w:fldChar w:fldCharType="begin"/>
        </w:r>
        <w:r w:rsidR="009C0138">
          <w:instrText>PAGE   \* MERGEFORMAT</w:instrText>
        </w:r>
        <w:r>
          <w:fldChar w:fldCharType="separate"/>
        </w:r>
        <w:r w:rsidR="005776DF">
          <w:rPr>
            <w:noProof/>
          </w:rPr>
          <w:t>1</w:t>
        </w:r>
        <w:r>
          <w:fldChar w:fldCharType="end"/>
        </w:r>
      </w:p>
    </w:sdtContent>
  </w:sdt>
  <w:p w:rsidR="009C0138" w:rsidRDefault="009C01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EFC" w:rsidRDefault="00825EFC" w:rsidP="009C1205">
      <w:r>
        <w:separator/>
      </w:r>
    </w:p>
  </w:footnote>
  <w:footnote w:type="continuationSeparator" w:id="1">
    <w:p w:rsidR="00825EFC" w:rsidRDefault="00825EFC" w:rsidP="009C1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51C"/>
    <w:multiLevelType w:val="hybridMultilevel"/>
    <w:tmpl w:val="A128E4BE"/>
    <w:lvl w:ilvl="0" w:tplc="04150011">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730A8B"/>
    <w:multiLevelType w:val="hybridMultilevel"/>
    <w:tmpl w:val="47EEC950"/>
    <w:lvl w:ilvl="0" w:tplc="DD686FFA">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71501D"/>
    <w:multiLevelType w:val="hybridMultilevel"/>
    <w:tmpl w:val="3FA62960"/>
    <w:lvl w:ilvl="0" w:tplc="8BC2162E">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3EE6A3A"/>
    <w:multiLevelType w:val="hybridMultilevel"/>
    <w:tmpl w:val="191C86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EDE159C"/>
    <w:multiLevelType w:val="hybridMultilevel"/>
    <w:tmpl w:val="8CF06D74"/>
    <w:lvl w:ilvl="0" w:tplc="C316D734">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8CC01AD"/>
    <w:multiLevelType w:val="hybridMultilevel"/>
    <w:tmpl w:val="8DDCC5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A027F59"/>
    <w:multiLevelType w:val="hybridMultilevel"/>
    <w:tmpl w:val="496E87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604043A5"/>
    <w:multiLevelType w:val="hybridMultilevel"/>
    <w:tmpl w:val="466AD0E6"/>
    <w:lvl w:ilvl="0" w:tplc="1C80D1A6">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6113D0E"/>
    <w:multiLevelType w:val="hybridMultilevel"/>
    <w:tmpl w:val="C84ED702"/>
    <w:lvl w:ilvl="0" w:tplc="BA5E5C2E">
      <w:start w:val="1"/>
      <w:numFmt w:val="lowerLetter"/>
      <w:lvlText w:val="%1)"/>
      <w:lvlJc w:val="left"/>
      <w:pPr>
        <w:ind w:left="714" w:hanging="357"/>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
    <w:nsid w:val="7B496030"/>
    <w:multiLevelType w:val="hybridMultilevel"/>
    <w:tmpl w:val="C4FEEF36"/>
    <w:lvl w:ilvl="0" w:tplc="6F2A1E40">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8"/>
  </w:num>
  <w:num w:numId="5">
    <w:abstractNumId w:val="2"/>
  </w:num>
  <w:num w:numId="6">
    <w:abstractNumId w:val="3"/>
  </w:num>
  <w:num w:numId="7">
    <w:abstractNumId w:val="6"/>
  </w:num>
  <w:num w:numId="8">
    <w:abstractNumId w:val="5"/>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43629A"/>
    <w:rsid w:val="00011382"/>
    <w:rsid w:val="00022268"/>
    <w:rsid w:val="000363F3"/>
    <w:rsid w:val="00055D0C"/>
    <w:rsid w:val="00094D3F"/>
    <w:rsid w:val="000C1B76"/>
    <w:rsid w:val="000F007F"/>
    <w:rsid w:val="001020A2"/>
    <w:rsid w:val="00134E83"/>
    <w:rsid w:val="0016644F"/>
    <w:rsid w:val="0017566B"/>
    <w:rsid w:val="001F2E49"/>
    <w:rsid w:val="001F787C"/>
    <w:rsid w:val="0020177E"/>
    <w:rsid w:val="002423D3"/>
    <w:rsid w:val="00297440"/>
    <w:rsid w:val="002B185C"/>
    <w:rsid w:val="002C317B"/>
    <w:rsid w:val="002D7C7F"/>
    <w:rsid w:val="002F6914"/>
    <w:rsid w:val="003061B8"/>
    <w:rsid w:val="0032676E"/>
    <w:rsid w:val="003648D0"/>
    <w:rsid w:val="0043629A"/>
    <w:rsid w:val="004D3040"/>
    <w:rsid w:val="004E72D4"/>
    <w:rsid w:val="005047EF"/>
    <w:rsid w:val="00512C78"/>
    <w:rsid w:val="005227A4"/>
    <w:rsid w:val="0057229A"/>
    <w:rsid w:val="005724CC"/>
    <w:rsid w:val="0057563F"/>
    <w:rsid w:val="005776DF"/>
    <w:rsid w:val="00594AF5"/>
    <w:rsid w:val="00610D0F"/>
    <w:rsid w:val="00615147"/>
    <w:rsid w:val="006344C0"/>
    <w:rsid w:val="00640BD6"/>
    <w:rsid w:val="00691AC7"/>
    <w:rsid w:val="006B5AE5"/>
    <w:rsid w:val="006D6C68"/>
    <w:rsid w:val="00732A8F"/>
    <w:rsid w:val="00781745"/>
    <w:rsid w:val="007A626C"/>
    <w:rsid w:val="00825EFC"/>
    <w:rsid w:val="0084225D"/>
    <w:rsid w:val="00844CF5"/>
    <w:rsid w:val="008C2BDF"/>
    <w:rsid w:val="00912AF9"/>
    <w:rsid w:val="00923352"/>
    <w:rsid w:val="00924592"/>
    <w:rsid w:val="009328D1"/>
    <w:rsid w:val="009342F7"/>
    <w:rsid w:val="00941514"/>
    <w:rsid w:val="00953E98"/>
    <w:rsid w:val="0095572F"/>
    <w:rsid w:val="009C0138"/>
    <w:rsid w:val="009C1205"/>
    <w:rsid w:val="00A37279"/>
    <w:rsid w:val="00A5556B"/>
    <w:rsid w:val="00A80D0B"/>
    <w:rsid w:val="00AC0C3B"/>
    <w:rsid w:val="00AE2FA2"/>
    <w:rsid w:val="00B167E0"/>
    <w:rsid w:val="00B44ADC"/>
    <w:rsid w:val="00B454BE"/>
    <w:rsid w:val="00B54ECF"/>
    <w:rsid w:val="00BB5A58"/>
    <w:rsid w:val="00C06808"/>
    <w:rsid w:val="00C15A42"/>
    <w:rsid w:val="00C22656"/>
    <w:rsid w:val="00C414AF"/>
    <w:rsid w:val="00C61AB6"/>
    <w:rsid w:val="00C770BB"/>
    <w:rsid w:val="00C80A1B"/>
    <w:rsid w:val="00C839EC"/>
    <w:rsid w:val="00C86CC2"/>
    <w:rsid w:val="00CC0E62"/>
    <w:rsid w:val="00CD0364"/>
    <w:rsid w:val="00CD55B9"/>
    <w:rsid w:val="00D248A8"/>
    <w:rsid w:val="00D575B3"/>
    <w:rsid w:val="00D75067"/>
    <w:rsid w:val="00D90AEB"/>
    <w:rsid w:val="00E23094"/>
    <w:rsid w:val="00E33DBF"/>
    <w:rsid w:val="00E4390F"/>
    <w:rsid w:val="00E5638F"/>
    <w:rsid w:val="00EF0410"/>
    <w:rsid w:val="00F10F67"/>
    <w:rsid w:val="00F23397"/>
    <w:rsid w:val="00F67752"/>
    <w:rsid w:val="00FA46DE"/>
    <w:rsid w:val="00FC76B0"/>
    <w:rsid w:val="00FD64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514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5147"/>
    <w:pPr>
      <w:ind w:left="720"/>
      <w:contextualSpacing/>
    </w:pPr>
  </w:style>
  <w:style w:type="character" w:styleId="Odwoaniedokomentarza">
    <w:name w:val="annotation reference"/>
    <w:basedOn w:val="Domylnaczcionkaakapitu"/>
    <w:uiPriority w:val="99"/>
    <w:semiHidden/>
    <w:unhideWhenUsed/>
    <w:rsid w:val="0057229A"/>
    <w:rPr>
      <w:sz w:val="16"/>
      <w:szCs w:val="16"/>
    </w:rPr>
  </w:style>
  <w:style w:type="paragraph" w:styleId="Tekstkomentarza">
    <w:name w:val="annotation text"/>
    <w:basedOn w:val="Normalny"/>
    <w:link w:val="TekstkomentarzaZnak"/>
    <w:uiPriority w:val="99"/>
    <w:semiHidden/>
    <w:unhideWhenUsed/>
    <w:rsid w:val="0057229A"/>
  </w:style>
  <w:style w:type="character" w:customStyle="1" w:styleId="TekstkomentarzaZnak">
    <w:name w:val="Tekst komentarza Znak"/>
    <w:basedOn w:val="Domylnaczcionkaakapitu"/>
    <w:link w:val="Tekstkomentarza"/>
    <w:uiPriority w:val="99"/>
    <w:semiHidden/>
    <w:rsid w:val="005722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7229A"/>
    <w:rPr>
      <w:b/>
      <w:bCs/>
    </w:rPr>
  </w:style>
  <w:style w:type="character" w:customStyle="1" w:styleId="TematkomentarzaZnak">
    <w:name w:val="Temat komentarza Znak"/>
    <w:basedOn w:val="TekstkomentarzaZnak"/>
    <w:link w:val="Tematkomentarza"/>
    <w:uiPriority w:val="99"/>
    <w:semiHidden/>
    <w:rsid w:val="0057229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722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229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C1205"/>
    <w:pPr>
      <w:tabs>
        <w:tab w:val="center" w:pos="4536"/>
        <w:tab w:val="right" w:pos="9072"/>
      </w:tabs>
    </w:pPr>
  </w:style>
  <w:style w:type="character" w:customStyle="1" w:styleId="NagwekZnak">
    <w:name w:val="Nagłówek Znak"/>
    <w:basedOn w:val="Domylnaczcionkaakapitu"/>
    <w:link w:val="Nagwek"/>
    <w:uiPriority w:val="99"/>
    <w:rsid w:val="009C120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C1205"/>
    <w:pPr>
      <w:tabs>
        <w:tab w:val="center" w:pos="4536"/>
        <w:tab w:val="right" w:pos="9072"/>
      </w:tabs>
    </w:pPr>
  </w:style>
  <w:style w:type="character" w:customStyle="1" w:styleId="StopkaZnak">
    <w:name w:val="Stopka Znak"/>
    <w:basedOn w:val="Domylnaczcionkaakapitu"/>
    <w:link w:val="Stopka"/>
    <w:uiPriority w:val="99"/>
    <w:rsid w:val="009C1205"/>
    <w:rPr>
      <w:rFonts w:ascii="Times New Roman" w:eastAsia="Times New Roman" w:hAnsi="Times New Roman" w:cs="Times New Roman"/>
      <w:sz w:val="20"/>
      <w:szCs w:val="20"/>
      <w:lang w:eastAsia="pl-PL"/>
    </w:rPr>
  </w:style>
  <w:style w:type="paragraph" w:customStyle="1" w:styleId="Standard">
    <w:name w:val="Standard"/>
    <w:rsid w:val="00C86CC2"/>
    <w:pPr>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paragraph" w:customStyle="1" w:styleId="Default">
    <w:name w:val="Default"/>
    <w:rsid w:val="008C2B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427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1.jpg@01D28D06.ACA0B860"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1946</Words>
  <Characters>11677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Fiedorowicz Joanna</dc:creator>
  <cp:keywords/>
  <dc:description/>
  <cp:lastModifiedBy>zbigniew.hajduczenia</cp:lastModifiedBy>
  <cp:revision>10</cp:revision>
  <cp:lastPrinted>2019-12-10T11:38:00Z</cp:lastPrinted>
  <dcterms:created xsi:type="dcterms:W3CDTF">2017-10-13T08:09:00Z</dcterms:created>
  <dcterms:modified xsi:type="dcterms:W3CDTF">2019-12-31T08:38:00Z</dcterms:modified>
</cp:coreProperties>
</file>