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552E58" w:rsidRPr="00552E58">
        <w:rPr>
          <w:b/>
          <w:bCs/>
          <w:color w:val="auto"/>
        </w:rPr>
        <w:t>215</w:t>
      </w:r>
      <w:r w:rsidR="002613A0" w:rsidRPr="00552E58">
        <w:rPr>
          <w:b/>
          <w:bCs/>
          <w:color w:val="auto"/>
        </w:rPr>
        <w:t xml:space="preserve">/2024 </w:t>
      </w:r>
      <w:r w:rsidR="004E05D2" w:rsidRPr="00552E58">
        <w:rPr>
          <w:b/>
          <w:bCs/>
          <w:color w:val="auto"/>
        </w:rPr>
        <w:t xml:space="preserve"> </w:t>
      </w:r>
      <w:r w:rsidR="00552E58" w:rsidRPr="00552E58">
        <w:rPr>
          <w:b/>
          <w:bCs/>
          <w:color w:val="auto"/>
        </w:rPr>
        <w:t>671640</w:t>
      </w:r>
      <w:r w:rsidR="00F37056" w:rsidRPr="00552E58">
        <w:rPr>
          <w:b/>
          <w:bCs/>
          <w:color w:val="auto"/>
        </w:rPr>
        <w:t xml:space="preserve"> </w:t>
      </w:r>
      <w:r w:rsidR="002613A0" w:rsidRPr="00552E58">
        <w:rPr>
          <w:b/>
          <w:bCs/>
          <w:color w:val="auto"/>
        </w:rPr>
        <w:t>-2024</w:t>
      </w:r>
      <w:r w:rsidR="002613A0" w:rsidRPr="00552E58">
        <w:rPr>
          <w:b/>
          <w:color w:val="auto"/>
        </w:rPr>
        <w:t xml:space="preserve"> z dnia:</w:t>
      </w:r>
      <w:r w:rsidR="004E05D2" w:rsidRPr="00552E58">
        <w:rPr>
          <w:b/>
          <w:color w:val="auto"/>
        </w:rPr>
        <w:t xml:space="preserve"> </w:t>
      </w:r>
      <w:r w:rsidR="00552E58" w:rsidRPr="00552E58">
        <w:rPr>
          <w:b/>
          <w:color w:val="auto"/>
        </w:rPr>
        <w:t>05.11</w:t>
      </w:r>
      <w:r w:rsidR="004E05D2" w:rsidRPr="00552E58">
        <w:rPr>
          <w:b/>
          <w:color w:val="auto"/>
        </w:rPr>
        <w:t>.</w:t>
      </w:r>
      <w:r w:rsidR="002613A0" w:rsidRPr="00552E58">
        <w:rPr>
          <w:b/>
          <w:color w:val="auto"/>
        </w:rPr>
        <w:t>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CB1DA4">
        <w:rPr>
          <w:rFonts w:ascii="Arial" w:hAnsi="Arial" w:cs="Arial"/>
          <w:b/>
        </w:rPr>
        <w:t xml:space="preserve">Dostawa </w:t>
      </w:r>
      <w:r w:rsidR="00002A4D">
        <w:rPr>
          <w:rFonts w:ascii="Arial" w:hAnsi="Arial" w:cs="Arial"/>
          <w:b/>
        </w:rPr>
        <w:t>jaj</w:t>
      </w:r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002A4D">
        <w:rPr>
          <w:rFonts w:ascii="Arial" w:hAnsi="Arial" w:cs="Arial"/>
          <w:szCs w:val="24"/>
        </w:rPr>
        <w:t>103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002A4D" w:rsidRPr="00532A1F" w:rsidRDefault="00002A4D" w:rsidP="00002A4D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sz w:val="22"/>
        </w:rPr>
      </w:pPr>
      <w:r w:rsidRPr="00532A1F">
        <w:rPr>
          <w:rFonts w:ascii="Arial" w:hAnsi="Arial" w:cs="Arial"/>
          <w:sz w:val="22"/>
        </w:rPr>
        <w:t>Przedmiotem zamówienia jest:</w:t>
      </w:r>
      <w:r w:rsidRPr="00532A1F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dostawa jaj realizowana do 16 WOG</w:t>
      </w:r>
      <w:r w:rsidRPr="00532A1F">
        <w:rPr>
          <w:rFonts w:ascii="Arial" w:hAnsi="Arial" w:cs="Arial"/>
          <w:sz w:val="22"/>
        </w:rPr>
        <w:t xml:space="preserve"> </w:t>
      </w:r>
    </w:p>
    <w:p w:rsidR="00002A4D" w:rsidRPr="002202F6" w:rsidRDefault="00002A4D" w:rsidP="00002A4D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sz w:val="22"/>
        </w:rPr>
      </w:pPr>
      <w:r w:rsidRPr="00532A1F">
        <w:rPr>
          <w:rFonts w:ascii="Arial" w:hAnsi="Arial" w:cs="Arial"/>
          <w:sz w:val="22"/>
        </w:rPr>
        <w:t xml:space="preserve">Zakres zamówienia - postępowanie podzielono na dwa zadania: </w:t>
      </w:r>
    </w:p>
    <w:p w:rsidR="00002A4D" w:rsidRPr="00D0242D" w:rsidRDefault="00002A4D" w:rsidP="00002A4D">
      <w:pPr>
        <w:pStyle w:val="Akapitzlist"/>
        <w:ind w:left="394"/>
        <w:rPr>
          <w:rFonts w:ascii="Arial" w:eastAsia="Calibri" w:hAnsi="Arial" w:cs="Arial"/>
          <w:b/>
          <w:sz w:val="22"/>
          <w:u w:val="single"/>
          <w:lang w:eastAsia="en-US"/>
        </w:rPr>
      </w:pPr>
      <w:r>
        <w:rPr>
          <w:rFonts w:ascii="Arial" w:hAnsi="Arial" w:cs="Arial"/>
          <w:b/>
          <w:sz w:val="22"/>
          <w:u w:val="single"/>
        </w:rPr>
        <w:t xml:space="preserve">Zadanie 1 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sz w:val="22"/>
          <w:szCs w:val="22"/>
        </w:rPr>
      </w:pPr>
      <w:r w:rsidRPr="00D0242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)</w:t>
      </w:r>
      <w:r w:rsidRPr="00D0242D">
        <w:rPr>
          <w:rFonts w:ascii="Arial" w:hAnsi="Arial" w:cs="Arial"/>
          <w:sz w:val="22"/>
          <w:szCs w:val="22"/>
        </w:rPr>
        <w:tab/>
        <w:t>Magazyn  żywnościowy 16 WOG Oleszno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b/>
          <w:sz w:val="22"/>
          <w:szCs w:val="22"/>
          <w:u w:val="single"/>
        </w:rPr>
      </w:pPr>
      <w:r w:rsidRPr="00D0242D">
        <w:rPr>
          <w:rFonts w:ascii="Arial" w:hAnsi="Arial" w:cs="Arial"/>
          <w:b/>
          <w:sz w:val="22"/>
          <w:szCs w:val="22"/>
          <w:u w:val="single"/>
        </w:rPr>
        <w:t>Zada</w:t>
      </w:r>
      <w:r>
        <w:rPr>
          <w:rFonts w:ascii="Arial" w:hAnsi="Arial" w:cs="Arial"/>
          <w:b/>
          <w:sz w:val="22"/>
          <w:szCs w:val="22"/>
          <w:u w:val="single"/>
        </w:rPr>
        <w:t xml:space="preserve">nie 2 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D0242D">
        <w:rPr>
          <w:rFonts w:ascii="Arial" w:hAnsi="Arial" w:cs="Arial"/>
          <w:sz w:val="22"/>
          <w:szCs w:val="22"/>
        </w:rPr>
        <w:t>)</w:t>
      </w:r>
      <w:r w:rsidRPr="00D0242D">
        <w:rPr>
          <w:rFonts w:ascii="Arial" w:hAnsi="Arial" w:cs="Arial"/>
          <w:sz w:val="22"/>
          <w:szCs w:val="22"/>
        </w:rPr>
        <w:tab/>
        <w:t>Magazyn żywnościowy 16 WOG Złocieniec</w:t>
      </w:r>
    </w:p>
    <w:p w:rsidR="00002A4D" w:rsidRPr="00D0242D" w:rsidRDefault="00002A4D" w:rsidP="00002A4D">
      <w:pPr>
        <w:pStyle w:val="Bezodstpw"/>
        <w:ind w:left="3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D0242D">
        <w:rPr>
          <w:rFonts w:ascii="Arial" w:hAnsi="Arial" w:cs="Arial"/>
          <w:sz w:val="22"/>
          <w:szCs w:val="22"/>
        </w:rPr>
        <w:t>)</w:t>
      </w:r>
      <w:r w:rsidRPr="00D0242D">
        <w:rPr>
          <w:rFonts w:ascii="Arial" w:hAnsi="Arial" w:cs="Arial"/>
          <w:sz w:val="22"/>
          <w:szCs w:val="22"/>
        </w:rPr>
        <w:tab/>
        <w:t>Magazyn żywnościowy 16 WOG Wałcz</w:t>
      </w:r>
    </w:p>
    <w:p w:rsidR="00002A4D" w:rsidRPr="006427FD" w:rsidRDefault="00002A4D" w:rsidP="00002A4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Pr="006427FD">
        <w:rPr>
          <w:rFonts w:ascii="Arial" w:hAnsi="Arial" w:cs="Arial"/>
          <w:sz w:val="22"/>
        </w:rPr>
        <w:t>W ilościach</w:t>
      </w:r>
      <w:r>
        <w:rPr>
          <w:rFonts w:ascii="Arial" w:hAnsi="Arial" w:cs="Arial"/>
          <w:sz w:val="22"/>
        </w:rPr>
        <w:t xml:space="preserve"> wskazanych w formularzu ofertowym – załącznik do S</w:t>
      </w:r>
      <w:r w:rsidRPr="006427FD">
        <w:rPr>
          <w:rFonts w:ascii="Arial" w:hAnsi="Arial" w:cs="Arial"/>
          <w:sz w:val="22"/>
        </w:rPr>
        <w:t>WZ</w:t>
      </w:r>
    </w:p>
    <w:p w:rsidR="00002A4D" w:rsidRPr="00B9487B" w:rsidRDefault="00002A4D" w:rsidP="00002A4D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2"/>
        </w:rPr>
      </w:pPr>
      <w:r w:rsidRPr="00B9487B">
        <w:rPr>
          <w:rFonts w:ascii="Arial" w:hAnsi="Arial" w:cs="Arial"/>
          <w:sz w:val="22"/>
        </w:rPr>
        <w:t xml:space="preserve">Szczegółowy opis przedmiotu zamówienia został zawarty w załącznikach do SWZ, </w:t>
      </w:r>
      <w:r>
        <w:rPr>
          <w:rFonts w:ascii="Arial" w:hAnsi="Arial" w:cs="Arial"/>
          <w:sz w:val="22"/>
        </w:rPr>
        <w:br/>
        <w:t xml:space="preserve">     </w:t>
      </w:r>
      <w:r w:rsidRPr="00B9487B">
        <w:rPr>
          <w:rFonts w:ascii="Arial" w:hAnsi="Arial" w:cs="Arial"/>
          <w:sz w:val="22"/>
        </w:rPr>
        <w:t>a w</w:t>
      </w:r>
      <w:r>
        <w:rPr>
          <w:rFonts w:ascii="Arial" w:hAnsi="Arial" w:cs="Arial"/>
          <w:sz w:val="22"/>
        </w:rPr>
        <w:t xml:space="preserve"> </w:t>
      </w:r>
      <w:r w:rsidRPr="00B9487B">
        <w:rPr>
          <w:rFonts w:ascii="Arial" w:hAnsi="Arial" w:cs="Arial"/>
          <w:sz w:val="22"/>
        </w:rPr>
        <w:t>szczególności w:</w:t>
      </w:r>
    </w:p>
    <w:p w:rsidR="00002A4D" w:rsidRPr="003446EC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0" w:firstLine="284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opisie przedmiotu zamówienia</w:t>
      </w:r>
    </w:p>
    <w:p w:rsidR="00002A4D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284" w:firstLine="0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projekcie umowy</w:t>
      </w:r>
    </w:p>
    <w:p w:rsidR="00002A4D" w:rsidRPr="004921A0" w:rsidRDefault="00002A4D" w:rsidP="00002A4D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</w:rPr>
      </w:pP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CB1DA4">
        <w:rPr>
          <w:rFonts w:ascii="Arial" w:hAnsi="Arial" w:cs="Arial"/>
          <w:szCs w:val="24"/>
        </w:rPr>
        <w:t>4</w:t>
      </w:r>
      <w:r w:rsidR="00002A4D">
        <w:rPr>
          <w:rFonts w:ascii="Arial" w:hAnsi="Arial" w:cs="Arial"/>
          <w:szCs w:val="24"/>
        </w:rPr>
        <w:t>61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</w:t>
      </w:r>
      <w:r w:rsidRPr="00F65128">
        <w:rPr>
          <w:rFonts w:ascii="Arial" w:hAnsi="Arial" w:cs="Arial"/>
          <w:szCs w:val="24"/>
        </w:rPr>
        <w:lastRenderedPageBreak/>
        <w:t>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7F45C7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pranie pieniędzy lub finansowanie terroryzmu, orzeczeniem sprzed najwyżej pięciu lat lub w którym okres wykluczenia określony </w:t>
      </w:r>
      <w:r w:rsidRPr="00F65128">
        <w:rPr>
          <w:rFonts w:ascii="Arial" w:hAnsi="Arial" w:cs="Arial"/>
          <w:szCs w:val="24"/>
        </w:rPr>
        <w:lastRenderedPageBreak/>
        <w:t>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 w:rsidSect="00602BEC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90" w:right="969" w:bottom="861" w:left="960" w:header="708" w:footer="5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5C7" w:rsidRDefault="007F45C7">
      <w:pPr>
        <w:spacing w:after="0" w:line="240" w:lineRule="auto"/>
      </w:pPr>
      <w:r>
        <w:separator/>
      </w:r>
    </w:p>
  </w:endnote>
  <w:endnote w:type="continuationSeparator" w:id="0">
    <w:p w:rsidR="007F45C7" w:rsidRDefault="007F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5C7" w:rsidRDefault="007F45C7">
      <w:pPr>
        <w:spacing w:after="0" w:line="240" w:lineRule="auto"/>
      </w:pPr>
      <w:r>
        <w:separator/>
      </w:r>
    </w:p>
  </w:footnote>
  <w:footnote w:type="continuationSeparator" w:id="0">
    <w:p w:rsidR="007F45C7" w:rsidRDefault="007F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CB1DA4">
      <w:rPr>
        <w:rFonts w:ascii="Arial" w:eastAsia="Times New Roman" w:hAnsi="Arial" w:cs="Arial"/>
        <w:b/>
        <w:u w:val="single"/>
      </w:rPr>
      <w:t>8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2"/>
  </w:num>
  <w:num w:numId="5">
    <w:abstractNumId w:val="16"/>
  </w:num>
  <w:num w:numId="6">
    <w:abstractNumId w:val="1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8"/>
  </w:num>
  <w:num w:numId="10">
    <w:abstractNumId w:val="6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02A4D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8345F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B3D98"/>
    <w:rsid w:val="004E05D2"/>
    <w:rsid w:val="00527F3C"/>
    <w:rsid w:val="00542EF3"/>
    <w:rsid w:val="00552E58"/>
    <w:rsid w:val="005809B9"/>
    <w:rsid w:val="0058453C"/>
    <w:rsid w:val="005D135F"/>
    <w:rsid w:val="00602BEC"/>
    <w:rsid w:val="006221B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7ABA"/>
    <w:rsid w:val="007F3514"/>
    <w:rsid w:val="007F45C7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045AA"/>
    <w:rsid w:val="00A11EB1"/>
    <w:rsid w:val="00A37BBB"/>
    <w:rsid w:val="00A43D8B"/>
    <w:rsid w:val="00A52223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2266C"/>
    <w:rsid w:val="00C27F8D"/>
    <w:rsid w:val="00C52DCF"/>
    <w:rsid w:val="00C8351D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  <w:style w:type="paragraph" w:styleId="Zwykytekst">
    <w:name w:val="Plain Text"/>
    <w:basedOn w:val="Normalny"/>
    <w:link w:val="ZwykytekstZnak"/>
    <w:rsid w:val="00002A4D"/>
    <w:pPr>
      <w:spacing w:after="0" w:line="240" w:lineRule="auto"/>
      <w:ind w:left="0" w:firstLine="0"/>
    </w:pPr>
    <w:rPr>
      <w:rFonts w:eastAsia="Times New Roman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2A4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4255</Words>
  <Characters>25535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38</cp:revision>
  <cp:lastPrinted>2024-11-05T08:48:00Z</cp:lastPrinted>
  <dcterms:created xsi:type="dcterms:W3CDTF">2023-08-16T07:21:00Z</dcterms:created>
  <dcterms:modified xsi:type="dcterms:W3CDTF">2024-11-05T08:48:00Z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