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5C54" w14:textId="5C877A63" w:rsidR="00CC2747" w:rsidRPr="00850FEE" w:rsidRDefault="00CC2747" w:rsidP="00B63B08">
      <w:pPr>
        <w:tabs>
          <w:tab w:val="left" w:pos="6765"/>
        </w:tabs>
        <w:spacing w:before="60" w:after="60" w:line="288" w:lineRule="auto"/>
        <w:rPr>
          <w:rFonts w:asciiTheme="majorHAnsi" w:eastAsia="Arial Narrow" w:hAnsiTheme="majorHAnsi" w:cstheme="majorHAnsi"/>
          <w:b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 xml:space="preserve"> </w:t>
      </w:r>
    </w:p>
    <w:p w14:paraId="15BE2888" w14:textId="7BECB650" w:rsidR="007B5411" w:rsidRPr="00850FEE" w:rsidRDefault="00F658D3" w:rsidP="00B63B08">
      <w:pPr>
        <w:spacing w:before="60" w:after="60" w:line="288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Szczegółowy opis przedmiotu zamówienia (OPZ)</w:t>
      </w:r>
    </w:p>
    <w:p w14:paraId="3B25AFEA" w14:textId="793C9B3E" w:rsidR="007B5411" w:rsidRPr="00850FEE" w:rsidRDefault="00DF3D1A" w:rsidP="00B63B08">
      <w:p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Przedmiotem zamówienia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jest </w:t>
      </w: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zakup usługi dostępu do informatycznej platformy zakupowej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, wspomagającej obsługę zamówień publicznych w formie elektronicznej </w:t>
      </w: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wraz ze wsparciem technicznym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, na potrzeby Specjalistycznej Przychodni </w:t>
      </w:r>
      <w:r w:rsidR="009126D4" w:rsidRPr="00850FEE">
        <w:rPr>
          <w:rFonts w:asciiTheme="majorHAnsi" w:eastAsia="Arial Narrow" w:hAnsiTheme="majorHAnsi" w:cstheme="majorHAnsi"/>
          <w:sz w:val="20"/>
          <w:szCs w:val="20"/>
        </w:rPr>
        <w:t>Lekarskiej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dla Pracowników Wojska SPZOZ w Warszawie, a także współpraca pomiędzy Wykonawcą / Operatorem platformy, a Zamawiającym w zakresie korzystania z usług </w:t>
      </w: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w modelu chmurowym SaaS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(oprogramowanie jako usługa wraz z licencją) oraz </w:t>
      </w: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warunki SLA</w:t>
      </w:r>
      <w:r w:rsidRPr="00850FEE">
        <w:rPr>
          <w:rFonts w:asciiTheme="majorHAnsi" w:eastAsia="Arial Narrow" w:hAnsiTheme="majorHAnsi" w:cstheme="majorHAnsi"/>
          <w:b/>
          <w:i/>
          <w:sz w:val="20"/>
          <w:szCs w:val="20"/>
        </w:rPr>
        <w:t xml:space="preserve">, 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>zgodnie z wymaganiami określonymi</w:t>
      </w:r>
      <w:r w:rsidR="009126D4" w:rsidRPr="00850FEE">
        <w:rPr>
          <w:rFonts w:asciiTheme="majorHAnsi" w:eastAsia="Arial Narrow" w:hAnsiTheme="majorHAnsi" w:cstheme="majorHAnsi"/>
          <w:sz w:val="20"/>
          <w:szCs w:val="20"/>
        </w:rPr>
        <w:t xml:space="preserve"> 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>w niniejszym dokumencie.</w:t>
      </w:r>
    </w:p>
    <w:p w14:paraId="2FDA7AED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  <w:highlight w:val="white"/>
        </w:rPr>
        <w:t>Definicje: </w:t>
      </w:r>
    </w:p>
    <w:p w14:paraId="6BAAA48C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Informatyczna platforma zakupowa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(dalej zwana również platformą) – gotowe narzędzie do prowadzenia postępowań o udzielenie zamówień publicznych przy użyciu środków komunikacji elektronicznej, działające on-line z wykorzystaniem przeglądarki internetowej, umożliwiające przeprowadzenie całego procesu udzielania zamówień publicznych w formie elektronicznej zgodnie z:</w:t>
      </w:r>
    </w:p>
    <w:p w14:paraId="0C776F85" w14:textId="49B138A1" w:rsidR="007B5411" w:rsidRPr="00850FEE" w:rsidRDefault="00DF3D1A" w:rsidP="00B63B08">
      <w:pPr>
        <w:keepNext/>
        <w:numPr>
          <w:ilvl w:val="0"/>
          <w:numId w:val="9"/>
        </w:numPr>
        <w:spacing w:before="60" w:after="60" w:line="288" w:lineRule="auto"/>
        <w:ind w:hanging="426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ustawą z dnia 11 września 2019 r. Prawo zamówień publicznych (Dz. U. z 202</w:t>
      </w:r>
      <w:r w:rsidR="009126D4"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3</w:t>
      </w: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 xml:space="preserve"> r. poz. 1</w:t>
      </w:r>
      <w:r w:rsidR="009126D4"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605</w:t>
      </w: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 xml:space="preserve">), zwanej dalej „Ustawą”, </w:t>
      </w:r>
    </w:p>
    <w:p w14:paraId="5CFE0114" w14:textId="77777777" w:rsidR="007B5411" w:rsidRPr="00850FEE" w:rsidRDefault="00DF3D1A" w:rsidP="00B63B08">
      <w:pPr>
        <w:keepNext/>
        <w:numPr>
          <w:ilvl w:val="0"/>
          <w:numId w:val="9"/>
        </w:numPr>
        <w:spacing w:before="60" w:after="60" w:line="288" w:lineRule="auto"/>
        <w:ind w:hanging="425"/>
        <w:jc w:val="both"/>
        <w:rPr>
          <w:rFonts w:asciiTheme="majorHAnsi" w:eastAsia="Arial Narrow" w:hAnsiTheme="majorHAnsi" w:cstheme="majorHAnsi"/>
          <w:color w:val="000000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 xml:space="preserve">aktami wykonawczymi wydanymi do Ustawy, </w:t>
      </w:r>
    </w:p>
    <w:p w14:paraId="177C4C36" w14:textId="77777777" w:rsidR="007B5411" w:rsidRPr="00850FEE" w:rsidRDefault="00DF3D1A" w:rsidP="00B63B08">
      <w:pPr>
        <w:keepNext/>
        <w:numPr>
          <w:ilvl w:val="0"/>
          <w:numId w:val="9"/>
        </w:numPr>
        <w:spacing w:before="60" w:after="60" w:line="288" w:lineRule="auto"/>
        <w:ind w:hanging="425"/>
        <w:jc w:val="both"/>
        <w:rPr>
          <w:rFonts w:asciiTheme="majorHAnsi" w:eastAsia="Arial Narrow" w:hAnsiTheme="majorHAnsi" w:cstheme="majorHAnsi"/>
          <w:color w:val="000000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obowiązującym prawem Unii Europejskiej,</w:t>
      </w:r>
    </w:p>
    <w:p w14:paraId="16847555" w14:textId="77777777" w:rsidR="007B5411" w:rsidRPr="00850FEE" w:rsidRDefault="00DF3D1A" w:rsidP="00B63B08">
      <w:pPr>
        <w:keepNext/>
        <w:numPr>
          <w:ilvl w:val="0"/>
          <w:numId w:val="9"/>
        </w:numPr>
        <w:spacing w:before="60" w:after="60" w:line="288" w:lineRule="auto"/>
        <w:ind w:hanging="425"/>
        <w:jc w:val="both"/>
        <w:rPr>
          <w:rFonts w:asciiTheme="majorHAnsi" w:eastAsia="Arial Narrow" w:hAnsiTheme="majorHAnsi" w:cstheme="majorHAnsi"/>
          <w:color w:val="000000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wszelkimi zmianami przepisów prawa w zakresie udzielania zamówień publicznych.</w:t>
      </w:r>
    </w:p>
    <w:p w14:paraId="7295FCD1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Postępowania o udzielenie zamówień publicznych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postępowania przetargowe realizowane na podstawie Ustawy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>(„w procedurze krajowej” lub „w procedurze unijnej”), postępowania realizowane z wyłączeniem stosowania przepisów Ustawy (dalej: „regulaminowe”).</w:t>
      </w:r>
    </w:p>
    <w:p w14:paraId="7F10CDF1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Postępowania przetargowe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wszystkie postępowania o udzielenie zamówienia publicznego realizowane na podstawie Ustawy („w procedurze krajowej” lub „w procedurze unijnej”).</w:t>
      </w:r>
    </w:p>
    <w:p w14:paraId="42B985AB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Postępowania regulaminowe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wszystkie postępowania o udzielenie zamówienia publicznego, do których nie stosuje się przepisów Ustawy.</w:t>
      </w:r>
    </w:p>
    <w:p w14:paraId="6249D958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Operator platformy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 Wykonawca udostępniający platformę zakupową w modelu SaaS pod wskazanym adresem WWW.</w:t>
      </w:r>
    </w:p>
    <w:p w14:paraId="4623F835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SaaS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 Software as a Service (z ang. oprogramowanie jako usługa wraz z licencją) to zakup usługi wraz z oprogramowaniem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>i licencją oraz aktualizacją systemu, pomocą techniczną, zarządzaniem serwerami oraz rozwojem systemu. SaaS to jeden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 xml:space="preserve">z modeli chmury obliczeniowej, polegający na dystrybucji oprogramowania, gdzie aplikacja wraz z licencją jest przechowywana i udostępniana Zamawiającemu przez Operatora platformy, poprzez Internet przy użyciu przeglądarki internetowej. Eliminuje to potrzebę instalacji i uruchamiania programu na komputerze Zamawiającego. </w:t>
      </w:r>
    </w:p>
    <w:p w14:paraId="6CF5F107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SLA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(z ang. Service Level Agreement) – umowa utrzymania i systematycznego poprawiania ustalonego między Zamawiającym (klientem) a Wykonawcą (usługodawcą) poziomu jakości usług poprzez stały cykl obejmujący: uzgodnienia, monitorowanie usługi, raportowanie, przegląd osiąganych wyników oraz kary umowne za niewywiązanie się ze zobowiązań.</w:t>
      </w:r>
    </w:p>
    <w:p w14:paraId="322C8956" w14:textId="57810A54" w:rsidR="007B5411" w:rsidRPr="00850FEE" w:rsidRDefault="00DF3D1A" w:rsidP="00B63B08">
      <w:p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Sprawozdanie z udzielonych zamówień za 202</w:t>
      </w:r>
      <w:r w:rsidR="0030427C" w:rsidRPr="00850FEE">
        <w:rPr>
          <w:rFonts w:asciiTheme="majorHAnsi" w:eastAsia="Arial Narrow" w:hAnsiTheme="majorHAnsi" w:cstheme="majorHAnsi"/>
          <w:b/>
          <w:color w:val="auto"/>
          <w:sz w:val="20"/>
          <w:szCs w:val="20"/>
        </w:rPr>
        <w:t>3</w:t>
      </w: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 xml:space="preserve"> rok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przekazane Prezesowi Urzędu Zamówień Publicznych roczne sprawozdanie z udzielonych zamówień w okresie od 1 stycznia do 31 grudnia 202</w:t>
      </w:r>
      <w:r w:rsidR="0030427C" w:rsidRPr="00850FEE">
        <w:rPr>
          <w:rFonts w:asciiTheme="majorHAnsi" w:eastAsia="Arial Narrow" w:hAnsiTheme="majorHAnsi" w:cstheme="majorHAnsi"/>
          <w:sz w:val="20"/>
          <w:szCs w:val="20"/>
        </w:rPr>
        <w:t>3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roku. Sprawozdanie stanowi podstawę obliczenia ceny ofertowej brutto, tj. zryczałtowanego wynagrodzenia Wykonawcy za wykonanie całości przedmiotu zamówienia.</w:t>
      </w:r>
    </w:p>
    <w:p w14:paraId="719D8261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Awaria lub błąd krytyczny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problem polegający na zatrzymaniu lub poważnym zakłóceniu pracy systemu stanowiącego przedmiot wsparcia, w wyniku czego nie jest możliwa realizacja co najmniej jednego z kluczowych procesów prowadzenia postępowania (tj. logowanie, wystawianie i prowadzenie postępowań, składanie ofert, odszyfrowanie ofert). Przez Awarię rozumie się także błąd krytyczny uniemożliwiający pracę.</w:t>
      </w:r>
    </w:p>
    <w:p w14:paraId="429FB0C9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Za Awarię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uznaje się również jednoczesne wystąpienie szeregu problemów będących błędami lub usterkami, w przypadku, gdy takie problemy występują jednocześnie i mają ten sam skutek co Awaria. </w:t>
      </w:r>
    </w:p>
    <w:p w14:paraId="44CFA90A" w14:textId="77777777" w:rsidR="00CC2747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Za Błąd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, a nie Awarię będzie uznawany problem, co do którego Operator platformy zastosuje lub wskaże skuteczne, możliwe do zastosowania, nie skutkujące koniecznością poniesienia przez Zamawiającego jakichkolwiek dodatkowych opłat, obejście </w:t>
      </w:r>
    </w:p>
    <w:p w14:paraId="034DD814" w14:textId="546F16EF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umożliwiające funkcjonowanie systemu i umożliwiające zachowanie niezakłóconej realizacji kluczowych procesów związanych z prowadzeniem postępowania. </w:t>
      </w:r>
    </w:p>
    <w:p w14:paraId="5C672E90" w14:textId="7E66AF90" w:rsidR="007B5411" w:rsidRPr="00850FEE" w:rsidRDefault="00DF3D1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lastRenderedPageBreak/>
        <w:t>Błąd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problem polegający na zakłóceniu pracy systemu, skutkujący ograniczeniem możliwości realizacji lub uciążliwościami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 xml:space="preserve">w realizacji kluczowych procesów związanych z prowadzeniem postępowania wspieranych przez system, dla którego to problemu Operator platformy wskazał skuteczne obejście umożliwiające funkcjonowanie systemu i umożliwiające zachowanie ciągłości realizacji procesów związanych z prowadzeniem postępowania jednocześnie nie skutkujące koniecznością poniesienia przez Zamawiającego jakichkolwiek dodatkowych opłat. Jeśli nie wskazano obejścia Błędu lub wskazane obejście wymaga nakładów nieuzasadnionych z ekonomicznego punktu widzenia albo wskazane obejście nie kwalifikuje się do zastosowania ze względu na standardy i/lub sposób prowadzenia postępowania przez Zamawiającego, obejście nie jest uznawane za skuteczne </w:t>
      </w:r>
      <w:r w:rsidR="00EA41E7" w:rsidRPr="00850FEE">
        <w:rPr>
          <w:rFonts w:asciiTheme="majorHAnsi" w:eastAsia="Arial Narrow" w:hAnsiTheme="majorHAnsi" w:cstheme="majorHAnsi"/>
          <w:sz w:val="20"/>
          <w:szCs w:val="20"/>
        </w:rPr>
        <w:br/>
      </w:r>
      <w:r w:rsidRPr="00850FEE">
        <w:rPr>
          <w:rFonts w:asciiTheme="majorHAnsi" w:eastAsia="Arial Narrow" w:hAnsiTheme="majorHAnsi" w:cstheme="majorHAnsi"/>
          <w:sz w:val="20"/>
          <w:szCs w:val="20"/>
        </w:rPr>
        <w:t>i taki Błąd jest kwalifikowany jako Awaria.</w:t>
      </w:r>
    </w:p>
    <w:p w14:paraId="7D722619" w14:textId="77777777" w:rsidR="007B5411" w:rsidRPr="00850FEE" w:rsidRDefault="00DF3D1A" w:rsidP="00B63B08">
      <w:p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Usterka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– wada polegająca na zakłóceniu pracy systemu, mogąca mieć wpływ na funkcjonowanie systemu, natomiast nieograniczająca zdolności operacyjnych systemu do obsługi i wspomagania procesów związanych z prowadzeniem postępowania. Usterki oznaczają wszelkie problemy z systemem, które nie mają istotnego wpływu na jego zastosowanie, funkcjonowanie lub utrzymanie oraz dalszy jego rozwój, niebędące Awariami, ani Błędami.</w:t>
      </w:r>
    </w:p>
    <w:p w14:paraId="1F2C917C" w14:textId="77777777" w:rsidR="007B5411" w:rsidRPr="00850FEE" w:rsidRDefault="00DF3D1A" w:rsidP="00B63B08">
      <w:pPr>
        <w:numPr>
          <w:ilvl w:val="0"/>
          <w:numId w:val="8"/>
        </w:numPr>
        <w:spacing w:before="60" w:after="60" w:line="288" w:lineRule="auto"/>
        <w:ind w:left="426" w:hanging="284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Zakres świadczonych usług przez Operatora informatycznej platformy zakupowej:</w:t>
      </w:r>
    </w:p>
    <w:p w14:paraId="0BD5F407" w14:textId="49B39071" w:rsidR="007B5411" w:rsidRPr="00850FEE" w:rsidRDefault="00DF3D1A" w:rsidP="00B63B08">
      <w:pPr>
        <w:keepNext/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Zapewnienie Zamawiającemu usługi ciągłego dostępu do informatycznej platformy zakupowej, na wskazanej stronie WWW, przez okres </w:t>
      </w:r>
      <w:r w:rsidR="00E9562D" w:rsidRPr="00850FEE">
        <w:rPr>
          <w:rFonts w:asciiTheme="majorHAnsi" w:eastAsia="Arial Narrow" w:hAnsiTheme="majorHAnsi" w:cstheme="majorHAnsi"/>
          <w:b/>
          <w:bCs/>
          <w:sz w:val="20"/>
          <w:szCs w:val="20"/>
          <w:shd w:val="clear" w:color="auto" w:fill="FFFFFF"/>
        </w:rPr>
        <w:t>48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 miesięcy liczonych od dnia uruchomienia informatycznej platformy zakupowej.</w:t>
      </w:r>
    </w:p>
    <w:p w14:paraId="29FF69F1" w14:textId="65E840D9" w:rsidR="007B5411" w:rsidRP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hAnsiTheme="majorHAnsi" w:cstheme="majorHAnsi"/>
          <w:sz w:val="20"/>
          <w:szCs w:val="20"/>
        </w:rPr>
        <w:t>Uruchomienie wraz z pakietem szkoleń technicznych i merytorycznych</w:t>
      </w:r>
      <w:r w:rsidR="003B01B0" w:rsidRPr="00850FEE">
        <w:rPr>
          <w:rFonts w:asciiTheme="majorHAnsi" w:hAnsiTheme="majorHAnsi" w:cstheme="majorHAnsi"/>
          <w:sz w:val="20"/>
          <w:szCs w:val="20"/>
        </w:rPr>
        <w:t xml:space="preserve"> </w:t>
      </w:r>
      <w:r w:rsidRPr="00850FEE">
        <w:rPr>
          <w:rFonts w:asciiTheme="majorHAnsi" w:hAnsiTheme="majorHAnsi" w:cstheme="majorHAnsi"/>
          <w:sz w:val="20"/>
          <w:szCs w:val="20"/>
        </w:rPr>
        <w:t xml:space="preserve"> oraz Profilem Nabywcy (dedykowana strona, gdzie można automatycznie publikować postępowania)</w:t>
      </w:r>
      <w:r w:rsidR="003B01B0" w:rsidRPr="00850FEE">
        <w:rPr>
          <w:rFonts w:asciiTheme="majorHAnsi" w:hAnsiTheme="majorHAnsi" w:cstheme="majorHAnsi"/>
          <w:sz w:val="20"/>
          <w:szCs w:val="20"/>
        </w:rPr>
        <w:t>.</w:t>
      </w:r>
    </w:p>
    <w:p w14:paraId="59F00C5F" w14:textId="77777777" w:rsidR="00850FEE" w:rsidRDefault="00EA41E7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>Dedykowane szkolenie on-line merytoryczne i techniczne – zakupy regulaminowe i postępowania zgodne z 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>Pzp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>.</w:t>
      </w:r>
    </w:p>
    <w:p w14:paraId="459F54CD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Uruchomienie informatycznej platformy zakupowej w terminie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10 dni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od dnia zawarcia Umowy.</w:t>
      </w:r>
    </w:p>
    <w:p w14:paraId="596F05A8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Uruchomienie informatycznej platformy zakupowej, jest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terminem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rozpoczęcia świadczenia usługi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i nastąpi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br/>
        <w:t>w dniu pierwszego zalogowania się do systemu przez Zamawiającego.</w:t>
      </w:r>
    </w:p>
    <w:p w14:paraId="31A82002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W przypadku postępowań wszczętych i niezakończonych w czasie obowiązywania Umowy Wykonawca będzie zobowiązany do udostępnienia, na warunkach określonych w Umowie i niniejszym OPZ, platformy zakupowej do czasu ich zakończenia, wraz z zapewnieniem wsparcia technicznego. </w:t>
      </w:r>
    </w:p>
    <w:p w14:paraId="7FA9CEE9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Rozwój systemu (dostępność najnowszej wersji systemu).</w:t>
      </w:r>
    </w:p>
    <w:p w14:paraId="0048679A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Utrzymanie infrastruktury w modelu „chmurowym”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SaaS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.</w:t>
      </w:r>
    </w:p>
    <w:p w14:paraId="41E335D2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Doradztwo merytoryczne dla prowadzących postępowania i obsługa Wykonawców bez limitu czasowego i dopłat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br/>
        <w:t>z tego tytułu.</w:t>
      </w:r>
    </w:p>
    <w:p w14:paraId="3CC8ECF6" w14:textId="77777777" w:rsidR="00850FEE" w:rsidRDefault="00DF3D1A" w:rsidP="00B63B08">
      <w:pPr>
        <w:numPr>
          <w:ilvl w:val="1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Baza Wykonawców dostępnych na wskazanej stronie WWW.</w:t>
      </w:r>
    </w:p>
    <w:p w14:paraId="51003CAD" w14:textId="69AFA87C" w:rsidR="007B5411" w:rsidRPr="000570A0" w:rsidRDefault="00DF3D1A" w:rsidP="00B63B08">
      <w:pPr>
        <w:pStyle w:val="Akapitzlist"/>
        <w:numPr>
          <w:ilvl w:val="0"/>
          <w:numId w:val="8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570A0">
        <w:rPr>
          <w:rFonts w:asciiTheme="majorHAnsi" w:eastAsia="Arial Narrow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Funkcjonalności platformy oraz zakres wdrożenia wymagane przez Zamawiającego: </w:t>
      </w:r>
    </w:p>
    <w:p w14:paraId="11454800" w14:textId="77777777" w:rsidR="000570A0" w:rsidRPr="000570A0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ind w:left="993" w:hanging="426"/>
        <w:jc w:val="both"/>
        <w:rPr>
          <w:rFonts w:asciiTheme="majorHAnsi" w:hAnsiTheme="majorHAnsi" w:cstheme="majorHAnsi"/>
          <w:sz w:val="20"/>
          <w:szCs w:val="20"/>
        </w:rPr>
      </w:pPr>
      <w:r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platforma nie wymaga od Zamawiającego użycia podpisów elektronicznych do otwarcia ofert;</w:t>
      </w:r>
    </w:p>
    <w:p w14:paraId="1E8AFDA5" w14:textId="77777777" w:rsidR="000570A0" w:rsidRPr="000570A0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ind w:left="993" w:hanging="426"/>
        <w:jc w:val="both"/>
        <w:rPr>
          <w:rFonts w:asciiTheme="majorHAnsi" w:hAnsiTheme="majorHAnsi" w:cstheme="majorHAnsi"/>
          <w:sz w:val="20"/>
          <w:szCs w:val="20"/>
        </w:rPr>
      </w:pPr>
      <w:r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platforma nie wymusza założenia lub posiadania konta przez Wykonawcę w celu złożenia oferty (rejestracja jest opcjonalna);</w:t>
      </w:r>
    </w:p>
    <w:p w14:paraId="775BA5EA" w14:textId="77777777" w:rsidR="000570A0" w:rsidRPr="000570A0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ind w:left="993" w:hanging="426"/>
        <w:jc w:val="both"/>
        <w:rPr>
          <w:rFonts w:asciiTheme="majorHAnsi" w:hAnsiTheme="majorHAnsi" w:cstheme="majorHAnsi"/>
          <w:sz w:val="20"/>
          <w:szCs w:val="20"/>
        </w:rPr>
      </w:pPr>
      <w:r w:rsidRPr="000570A0">
        <w:rPr>
          <w:rFonts w:asciiTheme="majorHAnsi" w:eastAsia="Arial Narrow" w:hAnsiTheme="majorHAnsi" w:cstheme="majorHAnsi"/>
          <w:sz w:val="20"/>
          <w:szCs w:val="20"/>
          <w:highlight w:val="white"/>
        </w:rPr>
        <w:t xml:space="preserve">platforma nie wymaga od Zamawiającego użycia dodatkowego narzędzia autoryzacyjnego w celu zalogowania się do systemu lub otwarcia oferty (np. kody sms) </w:t>
      </w:r>
      <w:r w:rsidR="00EA41E7" w:rsidRPr="000570A0">
        <w:rPr>
          <w:rFonts w:asciiTheme="majorHAnsi" w:eastAsia="Arial Narrow" w:hAnsiTheme="majorHAnsi" w:cstheme="majorHAnsi"/>
          <w:sz w:val="20"/>
          <w:szCs w:val="20"/>
        </w:rPr>
        <w:t>;</w:t>
      </w:r>
    </w:p>
    <w:p w14:paraId="4266CF9A" w14:textId="77777777" w:rsidR="000570A0" w:rsidRPr="000570A0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ind w:left="993" w:hanging="426"/>
        <w:jc w:val="both"/>
        <w:rPr>
          <w:rFonts w:asciiTheme="majorHAnsi" w:hAnsiTheme="majorHAnsi" w:cstheme="majorHAnsi"/>
          <w:sz w:val="20"/>
          <w:szCs w:val="20"/>
        </w:rPr>
      </w:pPr>
      <w:r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możliwość wysyłania komunikatów na platformie dla Wykonawców (publicznych oraz prywatnych), gdzie Wykonawca nie ma konieczności posiadania konta, aby odczytać taki komunikat;</w:t>
      </w:r>
    </w:p>
    <w:p w14:paraId="1B55D7AB" w14:textId="7D3712EB" w:rsidR="007B5411" w:rsidRPr="000570A0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ind w:left="993" w:hanging="426"/>
        <w:jc w:val="both"/>
        <w:rPr>
          <w:rFonts w:asciiTheme="majorHAnsi" w:hAnsiTheme="majorHAnsi" w:cstheme="majorHAnsi"/>
          <w:sz w:val="20"/>
          <w:szCs w:val="20"/>
        </w:rPr>
      </w:pPr>
      <w:r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Operator platformy jest zobowiązany do stworzenia na platformie dedykowanego dla Zamawiającego Profilu Nabywcy, zgodnego ze standardem WCAG 2.1, który będzie przygotowany w porozumieniu z Zamawiającym i na którym będą publikowane wszystkie postępowania organizowane w trybie otwartym oraz umowy Zamawiającego oznaczone </w:t>
      </w:r>
      <w:r w:rsidR="00EA41E7"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br/>
      </w:r>
      <w:r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w systemie jako publiczne</w:t>
      </w:r>
      <w:r w:rsidR="00EA41E7" w:rsidRPr="000570A0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;</w:t>
      </w:r>
    </w:p>
    <w:p w14:paraId="473F8B12" w14:textId="26EBA8E8" w:rsidR="007B5411" w:rsidRPr="00850FEE" w:rsidRDefault="00DF3D1A" w:rsidP="00B63B08">
      <w:pPr>
        <w:numPr>
          <w:ilvl w:val="0"/>
          <w:numId w:val="8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Operator platformy przeprowadzi szkolenie dla wskazanych pracowników Zamawiającego w zakresie korzystania z platformy zakupowej, w terminie do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10 dni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od daty uruchomienia platformy zakupowej. Data i szczegółowy zakres szkolenia zostaną ustalone pomiędzy Zamawiającym</w:t>
      </w:r>
      <w:r w:rsidR="00EA41E7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a Wykonawcą po zawarciu Umowy. Uczestnictwo w szkoleniu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lastRenderedPageBreak/>
        <w:t>może zakończyć się testem wypełnianym przez uczestnika szkolenia, a jego zaliczenie na minimum 60% będzie skutkowało wydaniem zaświadczenia o ukończeniu szkolenia;</w:t>
      </w:r>
    </w:p>
    <w:p w14:paraId="6BC7041C" w14:textId="542DFA95" w:rsidR="007B5411" w:rsidRPr="00850FEE" w:rsidRDefault="00DF3D1A" w:rsidP="00B63B08">
      <w:pPr>
        <w:numPr>
          <w:ilvl w:val="0"/>
          <w:numId w:val="8"/>
        </w:numPr>
        <w:spacing w:before="60" w:after="6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Operator platformy w ramach świadczonej usługi zobowiązuje się udostępnić harmonogram bezpłatnych szkoleń online w zakresie korzystania z platformy zakupowej dla Zamawiającego minimum raz w tygodniu w zakresie postępowań regulaminowych, zgodnych z Ustawą w „procedurze krajowej” oraz zgodnych z Ustawą w „procedurze unijnej”, a także przetargów, w których Zamawiający będzie mógł uczestniczyć</w:t>
      </w:r>
      <w:r w:rsidR="000E0B0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.</w:t>
      </w:r>
    </w:p>
    <w:p w14:paraId="4CF58674" w14:textId="77777777" w:rsidR="007B5411" w:rsidRPr="00850FEE" w:rsidRDefault="00DF3D1A" w:rsidP="00B63B08">
      <w:pPr>
        <w:keepNext/>
        <w:numPr>
          <w:ilvl w:val="1"/>
          <w:numId w:val="8"/>
        </w:numPr>
        <w:tabs>
          <w:tab w:val="left" w:pos="1276"/>
        </w:tabs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b/>
          <w:color w:val="000000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Dostęp do zasobów oraz archiwum:</w:t>
      </w:r>
    </w:p>
    <w:p w14:paraId="0233F9B8" w14:textId="1716203B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701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Operator platformy jest zobowiązany do archiwizacji danych zgromadzonych w okresie obowiązywania Umowy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i gwarantuje Zamawiającemu bezpłatny i nieograniczony dostęp do zasobów wszystkich postępowań zarejestrowanych przez Zamawiającego na platformie zakupowej, umożliwiający m.in.: bezpłatne i nielimitowane pobieranie zarchiwizowanych danych oraz dokonanie ich podglądu w trybie on-line bez konieczności zgłaszania przez Zamawiającego wcześniej takiej potrzeby Wykonawcy,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przez okres</w:t>
      </w:r>
      <w:r w:rsidR="00021399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wskazany przez Wykonawcę w ofercie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, jednak nie krótszy niż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minimum 4 lata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liczone od daty zakończenia danego postępowania;</w:t>
      </w:r>
    </w:p>
    <w:p w14:paraId="1EFFB8B3" w14:textId="77777777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701" w:hanging="425"/>
        <w:jc w:val="both"/>
        <w:rPr>
          <w:rFonts w:asciiTheme="majorHAnsi" w:eastAsia="Arial Narrow" w:hAnsiTheme="majorHAnsi" w:cstheme="majorHAnsi"/>
          <w:b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po zakończeniu dane postępowanie zostanie przekazane do archiwum w formie skompresowanej paczki danych, zawierającej dane dotyczące postępowania w formie ustrukturyzowanej w plikach: o formacie „.pdf” lub „.xls”, raportów do wydruku, raportów z zestawienia ofert, raportów z danego postępowania, raportów rocznych z postępowań, notatek oraz załączników do postępowań, która to paczka danych zostanie wgrana na dysk archiwalny opłacany przez Operatora platformy, którym zarządzał będzie Zamawiający, mający uprawnienia do usuwania oraz pobierania plików z archiwum;</w:t>
      </w:r>
    </w:p>
    <w:p w14:paraId="535D6EFD" w14:textId="77777777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701" w:hanging="425"/>
        <w:jc w:val="both"/>
        <w:rPr>
          <w:rFonts w:asciiTheme="majorHAnsi" w:eastAsia="Arial Narrow" w:hAnsiTheme="majorHAnsi" w:cstheme="majorHAnsi"/>
          <w:b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Operator platformy jest zobowiązany do spełnienia ww. wymogów, również w przypadku wygaśnięcia i / lub odstąpienia od Umowy na zasadach opisanych w Umowie.</w:t>
      </w:r>
    </w:p>
    <w:p w14:paraId="4277C716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701"/>
        <w:jc w:val="both"/>
        <w:rPr>
          <w:rFonts w:asciiTheme="majorHAnsi" w:hAnsiTheme="majorHAnsi" w:cstheme="majorHAnsi"/>
          <w:color w:val="6AA84F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w każdej chwili Zamawiający, na swoje żądanie, może nieodpłatnie pobrać dane archiwalnych postępowań (za pomocą jednego kliknięcia);</w:t>
      </w:r>
    </w:p>
    <w:p w14:paraId="7E382D24" w14:textId="77777777" w:rsidR="00047E62" w:rsidRPr="00047E62" w:rsidRDefault="00DF3D1A" w:rsidP="00B63B08">
      <w:pPr>
        <w:keepNext/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b/>
          <w:color w:val="000000"/>
          <w:sz w:val="20"/>
          <w:szCs w:val="20"/>
          <w:highlight w:val="white"/>
        </w:rPr>
      </w:pPr>
      <w:proofErr w:type="spellStart"/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Raportowalność</w:t>
      </w:r>
      <w:proofErr w:type="spellEnd"/>
      <w:r w:rsidRPr="00850FEE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 xml:space="preserve"> prowadzonych postępowań.</w:t>
      </w:r>
    </w:p>
    <w:p w14:paraId="6D2DC529" w14:textId="4C28C313" w:rsidR="007B5411" w:rsidRPr="00047E62" w:rsidRDefault="00DF3D1A" w:rsidP="00B63B08">
      <w:pPr>
        <w:keepNext/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b/>
          <w:color w:val="000000"/>
          <w:sz w:val="20"/>
          <w:szCs w:val="20"/>
          <w:highlight w:val="white"/>
        </w:rPr>
      </w:pPr>
      <w:r w:rsidRPr="00047E62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Operator platformy zapewnia wzorzec czasu i przepustowość sieci na platformie, </w:t>
      </w:r>
      <w:r w:rsidRP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ewidencjonowanie dokumentów przetargowych w systemie informatycznym platformy, obowiązek zgodności dostarczonego narzędzia z przepisami prawa, w tym z przepisami Ustawy, aktami wykonawczymi wydanymi do Ustawy, jak również obowiązującym prawem Unii Europejskiej., a także dostosowanie narzędzia do ewentualnych zmian w prawie w przyszłości.</w:t>
      </w:r>
    </w:p>
    <w:p w14:paraId="16FFFC8C" w14:textId="77777777" w:rsidR="00047E62" w:rsidRDefault="00047E62" w:rsidP="00B63B08">
      <w:pPr>
        <w:spacing w:before="60" w:after="60" w:line="288" w:lineRule="auto"/>
        <w:ind w:left="426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</w:p>
    <w:p w14:paraId="48C48EBA" w14:textId="77777777" w:rsidR="004827AA" w:rsidRDefault="00DF3D1A" w:rsidP="00B63B08">
      <w:pPr>
        <w:numPr>
          <w:ilvl w:val="0"/>
          <w:numId w:val="8"/>
        </w:numPr>
        <w:spacing w:before="60" w:after="60" w:line="288" w:lineRule="auto"/>
        <w:ind w:left="709" w:hanging="283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Wymagania licencyjne:</w:t>
      </w:r>
    </w:p>
    <w:p w14:paraId="61809D2D" w14:textId="77777777" w:rsidR="004827AA" w:rsidRPr="004827AA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 xml:space="preserve">Zamawiający kupuje usługę w modelu SaaS (Software as a Service – oprogramowanie jako usługa wraz z licencją) </w:t>
      </w:r>
      <w:r w:rsidRPr="004827AA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zgodnie z zakresem opisanym w niniejszym OPZ.</w:t>
      </w:r>
    </w:p>
    <w:p w14:paraId="0C625A8D" w14:textId="77777777" w:rsidR="004827AA" w:rsidRPr="004827AA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Operator platformy zakupowej zapewni nielimitowaną ilość kont dla użytkowników Zamawiającego w oparciu o </w:t>
      </w:r>
      <w:r w:rsidRPr="004827AA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Załącznik nr </w:t>
      </w:r>
      <w:r w:rsidR="00047E62" w:rsidRPr="004827AA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2</w:t>
      </w:r>
      <w:r w:rsidRPr="004827AA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do Zapytania (Sprawozdanie z </w:t>
      </w:r>
      <w:r w:rsidRPr="004827AA">
        <w:rPr>
          <w:rFonts w:asciiTheme="majorHAnsi" w:eastAsia="Arial Narrow" w:hAnsiTheme="majorHAnsi" w:cstheme="majorHAnsi"/>
          <w:sz w:val="20"/>
          <w:szCs w:val="20"/>
          <w:u w:val="single"/>
          <w:shd w:val="clear" w:color="auto" w:fill="FFFFFF"/>
        </w:rPr>
        <w:t>udzielonych zamówień za 202</w:t>
      </w:r>
      <w:r w:rsidR="000E0B01" w:rsidRPr="004827AA">
        <w:rPr>
          <w:rFonts w:asciiTheme="majorHAnsi" w:eastAsia="Arial Narrow" w:hAnsiTheme="majorHAnsi" w:cstheme="majorHAnsi"/>
          <w:sz w:val="20"/>
          <w:szCs w:val="20"/>
          <w:u w:val="single"/>
          <w:shd w:val="clear" w:color="auto" w:fill="FFFFFF"/>
        </w:rPr>
        <w:t>3</w:t>
      </w:r>
      <w:r w:rsidRPr="004827AA">
        <w:rPr>
          <w:rFonts w:asciiTheme="majorHAnsi" w:eastAsia="Arial Narrow" w:hAnsiTheme="majorHAnsi" w:cstheme="majorHAnsi"/>
          <w:sz w:val="20"/>
          <w:szCs w:val="20"/>
          <w:u w:val="single"/>
          <w:shd w:val="clear" w:color="auto" w:fill="FFFFFF"/>
        </w:rPr>
        <w:t xml:space="preserve"> rok</w:t>
      </w:r>
      <w:r w:rsidRPr="004827AA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).</w:t>
      </w:r>
    </w:p>
    <w:p w14:paraId="6949C122" w14:textId="34388700" w:rsidR="00047E62" w:rsidRPr="004827AA" w:rsidRDefault="00DF3D1A" w:rsidP="00B63B08">
      <w:pPr>
        <w:pStyle w:val="Akapitzlist"/>
        <w:numPr>
          <w:ilvl w:val="1"/>
          <w:numId w:val="8"/>
        </w:numPr>
        <w:spacing w:before="60" w:after="60" w:line="288" w:lineRule="auto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Operator platformy zapewni nielimitowaną ilość kont dla Wykonawców (jeden Wykonawca może posiadać wiele nieodpłatnych kont).</w:t>
      </w:r>
    </w:p>
    <w:p w14:paraId="179386E0" w14:textId="4D832C1D" w:rsidR="007B5411" w:rsidRPr="00047E62" w:rsidRDefault="00DF3D1A" w:rsidP="00B63B08">
      <w:pPr>
        <w:pStyle w:val="Akapitzlist"/>
        <w:keepNext/>
        <w:numPr>
          <w:ilvl w:val="1"/>
          <w:numId w:val="8"/>
        </w:numPr>
        <w:tabs>
          <w:tab w:val="left" w:pos="993"/>
        </w:tabs>
        <w:spacing w:before="60" w:after="60" w:line="288" w:lineRule="auto"/>
        <w:jc w:val="both"/>
        <w:rPr>
          <w:rFonts w:asciiTheme="majorHAnsi" w:eastAsia="Arial Narrow" w:hAnsiTheme="majorHAnsi" w:cstheme="majorHAnsi"/>
          <w:color w:val="000000"/>
          <w:sz w:val="20"/>
          <w:szCs w:val="20"/>
          <w:highlight w:val="white"/>
        </w:rPr>
      </w:pPr>
      <w:r w:rsidRP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Wymagania funkcjonalne w zakresie platformy:</w:t>
      </w:r>
    </w:p>
    <w:p w14:paraId="11AA0CEE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Operator platformy dostarczy system, gdzie oferty w postępowaniach (za wyjątkiem aukcji) mogą być autoryzowane przy użyciu wyłącznie adresu e-mail – logowanie lub poprzez e-mail bez konieczności rejestrowania się Wykonawców (weryfikacja po kliknięciu w link potwierdzający złożenie oferty);</w:t>
      </w:r>
    </w:p>
    <w:p w14:paraId="43BEB9DD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Zamawiający, aby dodać nowego Wykonawcę, jest zobowiązany minimum do podania adresu e-mail tego  Wykonawcy, na który ma on otrzymać zaproszenie do złożenia oferty / udziału w postępowaniu;</w:t>
      </w:r>
    </w:p>
    <w:p w14:paraId="06ED1DFE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ofertę oraz dokumenty dołączone do systemu przez Wykonawcę, system powinien wyświetlać w formie porównawczej i intuicyjnej;</w:t>
      </w:r>
    </w:p>
    <w:p w14:paraId="51A4506B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lastRenderedPageBreak/>
        <w:t>wszystkie oferty muszą być łatwo porównywane poprzez jednostronicowy formularz w systemie, gdzie widoczne będą wszystkie pozycje zapytania lub aukcji wraz z ceną oraz kryteriami Zamawiającego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>z możliwością łatwego porównania ofert na jednym formularzu oraz oceną komisyjną;</w:t>
      </w:r>
    </w:p>
    <w:p w14:paraId="27AE0D16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system, w sposób przyjazny dla użytkownika, będzie go wspierał w porównaniu ofert pod względem cen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>i kryteriów oraz umożliwiał ocenę komisyjną w postępowaniach;</w:t>
      </w:r>
    </w:p>
    <w:p w14:paraId="5B38D444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Wykonawcy mają możliwość komunikacji z Zamawiającym bez konieczności posiadania konta. Zamawiający ma możliwość publikowania wiadomości publicznych (dostępnych dla wszystkich uprawnionych Wykonawców) oraz prywatnych (dostępnych tylko dla wybranego Wykonawcy);</w:t>
      </w:r>
    </w:p>
    <w:p w14:paraId="2E341549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możliwość tworzenia podstawowej karty postępowania informującej o np. nazwie postępowania, trybie postępowania, kryteriach oceny ofert, terminie składania i otwarcia ofert;</w:t>
      </w:r>
    </w:p>
    <w:p w14:paraId="1F217088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możliwość dokonywania zmian terminów określanych w danym postępowaniu i możliwość ich aktualizacji;</w:t>
      </w:r>
    </w:p>
    <w:p w14:paraId="60E6D12B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system nie może wymagać od użytkowników systemu (po stronie Zamawiającego) posiadania kwalifikowanego podpisu elektronicznego;</w:t>
      </w:r>
    </w:p>
    <w:p w14:paraId="11F34E91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możliwość podziału składanej oferty na część jawną i niejawną, w taki sposób, aby Wykonawca mógł wyodrębnić tajemnicę przedsiębiorstwa i aby Zamawiający nie pobrał jej z plikami z ofertą (system umożliwia wyodrębnienie plików w archiwum postępowania); </w:t>
      </w:r>
    </w:p>
    <w:p w14:paraId="3E19D263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nienaruszalność złożonych ofert / wniosków / dokumentów / oświadczeń do momentu określonego na dokładny czas (poprzez wskazanie daty, godziny i minuty) ich otworzenia przez Zamawiającego, dotyczy również, Wykonawców;</w:t>
      </w:r>
    </w:p>
    <w:p w14:paraId="7FA90544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szyfrowanie ofert / wniosków / dokumentów / oświadczeń i ich załączników do momentu ich odszyfrowania przez Zamawiającego; </w:t>
      </w:r>
    </w:p>
    <w:p w14:paraId="123BF1B9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elektroniczne otwarcie ofert zgodnie z wymaganiami Ustawy;</w:t>
      </w:r>
    </w:p>
    <w:p w14:paraId="20B50EF7" w14:textId="77777777" w:rsidR="007B5411" w:rsidRPr="00850FEE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możliwość dodawania plików zewnętrznych, w tym również po zakończeniu postępowania elektronicznego (np. skarg,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odwołań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>);</w:t>
      </w:r>
    </w:p>
    <w:p w14:paraId="41157E6F" w14:textId="77777777" w:rsidR="00047E62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możliwość zamieszczania dokumentów w różnych formatach zgodnie z art. 18 ustawy z dnia 17 lutego 2005 r. o informatyzacji działalności podmiotów realizujących zadania publiczne (Dz. U. z 202</w:t>
      </w:r>
      <w:r w:rsidR="004F0629" w:rsidRPr="00850FEE">
        <w:rPr>
          <w:rFonts w:asciiTheme="majorHAnsi" w:eastAsia="Arial Narrow" w:hAnsiTheme="majorHAnsi" w:cstheme="majorHAnsi"/>
          <w:sz w:val="20"/>
          <w:szCs w:val="20"/>
        </w:rPr>
        <w:t>4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r. poz. 3</w:t>
      </w:r>
      <w:r w:rsidR="004F0629" w:rsidRPr="00850FEE">
        <w:rPr>
          <w:rFonts w:asciiTheme="majorHAnsi" w:eastAsia="Arial Narrow" w:hAnsiTheme="majorHAnsi" w:cstheme="majorHAnsi"/>
          <w:sz w:val="20"/>
          <w:szCs w:val="20"/>
        </w:rPr>
        <w:t>07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) oraz Rozporządzenia Rady Ministrów z dnia </w:t>
      </w:r>
      <w:r w:rsidR="004F0629" w:rsidRPr="00850FEE">
        <w:rPr>
          <w:rFonts w:asciiTheme="majorHAnsi" w:eastAsia="Arial Narrow" w:hAnsiTheme="majorHAnsi" w:cstheme="majorHAnsi"/>
          <w:sz w:val="20"/>
          <w:szCs w:val="20"/>
        </w:rPr>
        <w:t>21 maja 2024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r. w sprawie Krajowych Ram Interoperacyjności, minimalnych wymagań dla rejestrów publicznych i wymiany informacji w postaci elektronicznej oraz minimalnych wymagań dla systemów teleinformatycznych (Dz. U. z 20</w:t>
      </w:r>
      <w:r w:rsidR="004F0629" w:rsidRPr="00850FEE">
        <w:rPr>
          <w:rFonts w:asciiTheme="majorHAnsi" w:eastAsia="Arial Narrow" w:hAnsiTheme="majorHAnsi" w:cstheme="majorHAnsi"/>
          <w:sz w:val="20"/>
          <w:szCs w:val="20"/>
        </w:rPr>
        <w:t>24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r. poz. </w:t>
      </w:r>
      <w:r w:rsidR="004F0629" w:rsidRPr="00850FEE">
        <w:rPr>
          <w:rFonts w:asciiTheme="majorHAnsi" w:eastAsia="Arial Narrow" w:hAnsiTheme="majorHAnsi" w:cstheme="majorHAnsi"/>
          <w:sz w:val="20"/>
          <w:szCs w:val="20"/>
        </w:rPr>
        <w:t>773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>);</w:t>
      </w:r>
    </w:p>
    <w:p w14:paraId="55192A5C" w14:textId="77777777" w:rsidR="00047E62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047E62">
        <w:rPr>
          <w:rFonts w:asciiTheme="majorHAnsi" w:eastAsia="Arial Narrow" w:hAnsiTheme="majorHAnsi" w:cstheme="majorHAnsi"/>
          <w:sz w:val="20"/>
          <w:szCs w:val="20"/>
        </w:rPr>
        <w:t xml:space="preserve">integrację z Dziennikiem Urzędowym Unii Europejskiej poprzez usługę </w:t>
      </w:r>
      <w:proofErr w:type="spellStart"/>
      <w:r w:rsidRPr="00047E62">
        <w:rPr>
          <w:rFonts w:asciiTheme="majorHAnsi" w:eastAsia="Arial Narrow" w:hAnsiTheme="majorHAnsi" w:cstheme="majorHAnsi"/>
          <w:sz w:val="20"/>
          <w:szCs w:val="20"/>
        </w:rPr>
        <w:t>eSender</w:t>
      </w:r>
      <w:proofErr w:type="spellEnd"/>
      <w:r w:rsidRPr="00047E62">
        <w:rPr>
          <w:rFonts w:asciiTheme="majorHAnsi" w:eastAsia="Arial Narrow" w:hAnsiTheme="majorHAnsi" w:cstheme="majorHAnsi"/>
          <w:sz w:val="20"/>
          <w:szCs w:val="20"/>
        </w:rPr>
        <w:t>;</w:t>
      </w:r>
    </w:p>
    <w:p w14:paraId="04ACCD9C" w14:textId="417AF0CD" w:rsidR="007B5411" w:rsidRPr="00047E62" w:rsidRDefault="00DF3D1A" w:rsidP="00B63B08">
      <w:pPr>
        <w:numPr>
          <w:ilvl w:val="2"/>
          <w:numId w:val="8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047E62">
        <w:rPr>
          <w:rFonts w:asciiTheme="majorHAnsi" w:eastAsia="Arial Narrow" w:hAnsiTheme="majorHAnsi" w:cstheme="majorHAnsi"/>
          <w:sz w:val="20"/>
          <w:szCs w:val="20"/>
        </w:rPr>
        <w:t>system nie może dyskryminować Wykonawców i musi zachować zasady konkurencyjności, np. system</w:t>
      </w:r>
      <w:r w:rsidRPr="00047E62">
        <w:rPr>
          <w:rFonts w:asciiTheme="majorHAnsi" w:eastAsia="Arial Narrow" w:hAnsiTheme="majorHAnsi" w:cstheme="majorHAnsi"/>
          <w:sz w:val="20"/>
          <w:szCs w:val="20"/>
        </w:rPr>
        <w:br/>
        <w:t>nie może:</w:t>
      </w:r>
    </w:p>
    <w:p w14:paraId="74587C5C" w14:textId="1A165DB4" w:rsidR="007B5411" w:rsidRPr="00850FEE" w:rsidRDefault="00DF3D1A" w:rsidP="00B63B08">
      <w:pPr>
        <w:keepNext/>
        <w:widowControl w:val="0"/>
        <w:numPr>
          <w:ilvl w:val="3"/>
          <w:numId w:val="10"/>
        </w:numPr>
        <w:spacing w:before="60" w:after="60" w:line="288" w:lineRule="auto"/>
        <w:ind w:left="226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zmuszać do rejestracji Wykonawców, aby złożyli ofertę lub przeczytali ogłoszenie </w:t>
      </w:r>
      <w:r w:rsidR="000E0B0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br/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o zamówieniu;</w:t>
      </w:r>
    </w:p>
    <w:p w14:paraId="01A7D973" w14:textId="77777777" w:rsidR="007B5411" w:rsidRPr="00850FEE" w:rsidRDefault="00DF3D1A" w:rsidP="00B63B08">
      <w:pPr>
        <w:keepNext/>
        <w:widowControl w:val="0"/>
        <w:numPr>
          <w:ilvl w:val="3"/>
          <w:numId w:val="10"/>
        </w:numPr>
        <w:spacing w:before="60" w:after="60" w:line="288" w:lineRule="auto"/>
        <w:ind w:left="226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narzucać instalacji wybranych komercyjnych rozwiązań potrzebnych do prawidłowego działania systemu;</w:t>
      </w:r>
    </w:p>
    <w:p w14:paraId="1F4DC65A" w14:textId="671590B0" w:rsidR="007B5411" w:rsidRPr="00850FEE" w:rsidRDefault="00DF3D1A" w:rsidP="00B63B08">
      <w:pPr>
        <w:keepNext/>
        <w:widowControl w:val="0"/>
        <w:numPr>
          <w:ilvl w:val="3"/>
          <w:numId w:val="10"/>
        </w:numPr>
        <w:spacing w:before="60" w:after="60" w:line="288" w:lineRule="auto"/>
        <w:ind w:left="226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wykluczać któregokolwiek z podpisów elektronicznych, które są dopuszczone </w:t>
      </w:r>
      <w:r w:rsidR="000E0B0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br/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w krajach Unii Europejskiej;</w:t>
      </w:r>
    </w:p>
    <w:p w14:paraId="05BF3FAB" w14:textId="5FFEC7E1" w:rsidR="007B5411" w:rsidRPr="00850FEE" w:rsidRDefault="00DF3D1A" w:rsidP="00B63B08">
      <w:pPr>
        <w:keepNext/>
        <w:widowControl w:val="0"/>
        <w:numPr>
          <w:ilvl w:val="3"/>
          <w:numId w:val="10"/>
        </w:numPr>
        <w:spacing w:before="60" w:after="60" w:line="288" w:lineRule="auto"/>
        <w:ind w:left="226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ograniczać formatów przyjmowanych podpisów zgodnie z decyzją wykonawczą Komisji (UE) 2015/1506 z dnia 8 września 2015r. ustanawiającą specyfikacje dotyczące formatów zaawansowanych podpisów elektronicznych oraz zaawansowanych pieczęci elektronicznych, które mają być uznane przez podmioty sektora publicznego, zgodnie z art. 27 ust. 5 i art. 37 ust. 5 rozporzą</w:t>
      </w:r>
      <w:r w:rsidR="00C919CD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dzenia Parlamentu Europejskiego </w:t>
      </w:r>
      <w:bookmarkStart w:id="0" w:name="_GoBack"/>
      <w:bookmarkEnd w:id="0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i Rady (UE) nr 910/2014 w sprawie identyfikacji elektronicznej i usług zaufania w odniesieniu do transakcji elektronicznych na rynku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lastRenderedPageBreak/>
        <w:t>wewnętrznym (Dz. Urz. UE L 235 z 09.09.2015, str. 37).</w:t>
      </w:r>
    </w:p>
    <w:p w14:paraId="14FA415A" w14:textId="77777777" w:rsidR="007B5411" w:rsidRPr="00850FEE" w:rsidRDefault="00DF3D1A" w:rsidP="00B63B08">
      <w:pPr>
        <w:keepNext/>
        <w:numPr>
          <w:ilvl w:val="0"/>
          <w:numId w:val="8"/>
        </w:numPr>
        <w:spacing w:before="60" w:after="60" w:line="288" w:lineRule="auto"/>
        <w:ind w:hanging="294"/>
        <w:rPr>
          <w:rFonts w:asciiTheme="majorHAnsi" w:eastAsia="Arial Narrow" w:hAnsiTheme="majorHAnsi" w:cstheme="majorHAnsi"/>
          <w:b/>
          <w:color w:val="000000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b/>
          <w:color w:val="000000"/>
          <w:sz w:val="20"/>
          <w:szCs w:val="20"/>
          <w:shd w:val="clear" w:color="auto" w:fill="FFFFFF"/>
        </w:rPr>
        <w:t>Prawa autorskie i licencyjne</w:t>
      </w:r>
    </w:p>
    <w:p w14:paraId="02DCABC1" w14:textId="5989D586" w:rsidR="00047E62" w:rsidRPr="00047E62" w:rsidRDefault="00DF3D1A" w:rsidP="00B63B08">
      <w:pPr>
        <w:pStyle w:val="Akapitzlist"/>
        <w:keepNext/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Operator platformy w ramach należnego mu wynagrodzenia udziela licencji na uż</w:t>
      </w:r>
      <w:r w:rsid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 xml:space="preserve">ywanie autorskiego rozwiązania, </w:t>
      </w:r>
      <w:r w:rsidRP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w postaci  informatycznej platformy zakupowej dos</w:t>
      </w:r>
      <w:r w:rsid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tępnej na wskazanej stronie WWW.</w:t>
      </w:r>
    </w:p>
    <w:p w14:paraId="4DC0B0C7" w14:textId="77777777" w:rsidR="00047E62" w:rsidRPr="00047E62" w:rsidRDefault="00DF3D1A" w:rsidP="00B63B08">
      <w:pPr>
        <w:pStyle w:val="Akapitzlist"/>
        <w:keepNext/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Operator platformy oświadcza, że przysługują mu majątkowe prawa autorskie do informatycznej platformy zakupowej na wskazanej stronie WWW i korzystanie z niej przez Zamawiającego w ramach Umowy, nie naruszy praw osób trzecich.</w:t>
      </w:r>
    </w:p>
    <w:p w14:paraId="7F19C9B8" w14:textId="744A9516" w:rsidR="007B5411" w:rsidRPr="00047E62" w:rsidRDefault="00DF3D1A" w:rsidP="00B63B08">
      <w:pPr>
        <w:pStyle w:val="Akapitzlist"/>
        <w:keepNext/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047E62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W przypadku zasadnych roszczeń osób trzecich z tego tytułu Operator platformy ponosi pełną odpowiedzialność wobec Zamawiającego oraz osób trzecich.</w:t>
      </w:r>
    </w:p>
    <w:p w14:paraId="1B5C99FF" w14:textId="77777777" w:rsidR="007B5411" w:rsidRPr="00850FEE" w:rsidRDefault="00DF3D1A" w:rsidP="00B63B08">
      <w:pPr>
        <w:numPr>
          <w:ilvl w:val="0"/>
          <w:numId w:val="8"/>
        </w:numPr>
        <w:spacing w:before="60" w:after="60" w:line="288" w:lineRule="auto"/>
        <w:ind w:left="709" w:hanging="425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Wymagania ogólne względem SaaS:</w:t>
      </w:r>
    </w:p>
    <w:p w14:paraId="4A8C92BE" w14:textId="65008F4F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Platforma musi być zgodna z obowiązującym</w:t>
      </w:r>
      <w:r w:rsidR="00CA3121" w:rsidRPr="00850FEE">
        <w:rPr>
          <w:rFonts w:asciiTheme="majorHAnsi" w:eastAsia="Arial Narrow" w:hAnsiTheme="majorHAnsi" w:cstheme="majorHAnsi"/>
          <w:sz w:val="20"/>
          <w:szCs w:val="20"/>
        </w:rPr>
        <w:t>i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przepisami prawa, w szczególności Ustawą, aktami wykonawczymi wydanymi do Ustawy, jak również obowiązującym prawem Unii Europejskie</w:t>
      </w:r>
      <w:r w:rsidR="00047E62">
        <w:rPr>
          <w:rFonts w:asciiTheme="majorHAnsi" w:eastAsia="Arial Narrow" w:hAnsiTheme="majorHAnsi" w:cstheme="majorHAnsi"/>
          <w:sz w:val="20"/>
          <w:szCs w:val="20"/>
        </w:rPr>
        <w:t xml:space="preserve">j, a Wykonawca zobowiązany jest 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>do bezpłatnego dostosowania systemu do zmieniającego się prawa w omawianym zakresie.</w:t>
      </w:r>
    </w:p>
    <w:p w14:paraId="0DE66B54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Rozwój aplikacji – Operator platformy zapewni dostępność najnowszej wersji systemu.</w:t>
      </w:r>
    </w:p>
    <w:p w14:paraId="5BB022FF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Doradztwo merytoryczne dla wszystkich użytkowników Zamawiającego w godzinach minimalnie od 8:00 do 16:00 w dni robocze.</w:t>
      </w:r>
    </w:p>
    <w:p w14:paraId="0F3B744B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Obsługa techniczna wszystkich Wykonawców poprzez dostępny telefon i e-mail minimalnie od 8:00-17:00 w dni robocze.</w:t>
      </w:r>
    </w:p>
    <w:p w14:paraId="76E92B0C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Platforma nie może wymagać od Zamawiającego użycia podpisów elektronicznych do otwarcia ofert. </w:t>
      </w:r>
    </w:p>
    <w:p w14:paraId="46D38434" w14:textId="77777777" w:rsidR="004827AA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Katalog Wykonawców z wyszukiwarką (min. 100 000 skatalogowanych kontaktów do Wykonawców).</w:t>
      </w:r>
    </w:p>
    <w:p w14:paraId="4CCB6706" w14:textId="77777777" w:rsidR="004827AA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sz w:val="20"/>
          <w:szCs w:val="20"/>
        </w:rPr>
        <w:t>Platforma jest zainstalowana na serwerach należących do Operatora platformy lub profesjonalnego podmiotu trzeciego, z którym Operator platformy ma zawartą umowę hostingową w formie pisemnej.</w:t>
      </w:r>
    </w:p>
    <w:p w14:paraId="4801532B" w14:textId="77777777" w:rsidR="004827AA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sz w:val="20"/>
          <w:szCs w:val="20"/>
        </w:rPr>
        <w:t xml:space="preserve">Operator platformy jako podmiot przetwarzający zapewnia wystarczające gwarancje wdrożenia odpowiednich środków  technicznych i organizacyjnych, by przetwarzanie spełniało wymogi RODO i chroniło prawa osób, których dane dotyczą, a także zobowiązuje się, do przetwarzania danych wyłącznie na terenie Unii Europejskiej lub państw członkowskich, i że nie przekaże danych do państwa trzeciego lub organizacji międzynarodowej. </w:t>
      </w:r>
    </w:p>
    <w:p w14:paraId="7ECF5CB1" w14:textId="75E067D1" w:rsidR="007B5411" w:rsidRPr="004827AA" w:rsidRDefault="00DF3D1A" w:rsidP="00B63B08">
      <w:pPr>
        <w:numPr>
          <w:ilvl w:val="1"/>
          <w:numId w:val="8"/>
        </w:numPr>
        <w:spacing w:before="60" w:after="60" w:line="288" w:lineRule="auto"/>
        <w:ind w:left="1276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sz w:val="20"/>
          <w:szCs w:val="20"/>
        </w:rPr>
        <w:t xml:space="preserve">Zarządzanie Użytkownikami. </w:t>
      </w:r>
    </w:p>
    <w:p w14:paraId="7423E264" w14:textId="77777777" w:rsidR="007B5411" w:rsidRPr="00850FEE" w:rsidRDefault="00DF3D1A" w:rsidP="00B63B08">
      <w:pPr>
        <w:spacing w:before="60" w:after="60" w:line="288" w:lineRule="auto"/>
        <w:ind w:left="1276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Dostęp do platformy posiadają po stronie Zamawiającego tylko zdefiniowani użytkownicy i przedstawiciel Zamawiającego o uprawnieniach administratora (Administrator Zamawiającego), który nadaje poszczególnym użytkownikom uprawnienia umożliwiające dostęp do platformy w zakresie wskazanym przez Zamawiającego,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 xml:space="preserve">a w razie potrzeby – na żądanie Zamawiającego lub w związku z zakończeniem świadczenia usługi – te uprawnienia zmienia lub odbiera. </w:t>
      </w:r>
    </w:p>
    <w:p w14:paraId="1FB10C58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993" w:hanging="142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Platforma ma być dostępna przez protokół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https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przez przeglądarkę WWW. Strefa dostępu użytkownika jest zamknięta, połączenie ma być szyfrowane. Protokół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https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skonfigurowany jest w sposób uwzględniający dobre praktyki w zakresie bezpieczeństwa, obejmujące w szczególności:</w:t>
      </w:r>
    </w:p>
    <w:p w14:paraId="663342BD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Dopuszczenie stosowania protokołu TLS (ang. Transport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Layer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Security) 1.3 i nowszych – standard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br/>
        <w:t xml:space="preserve">w Internecie rozwinięcie protokołu SSL (ang.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Secure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Socket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Layer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>), który zapewnia poufność i integralność transmisji danych, a także uwierzytelnienie serwera, a niekiedy również klienta;</w:t>
      </w:r>
    </w:p>
    <w:p w14:paraId="57944465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Zabronione jest korzystanie z algorytmów DES i RC4;</w:t>
      </w:r>
    </w:p>
    <w:p w14:paraId="6E10BA91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Zabronione jest korzystanie z funkcji skrótu MD5 i SHA-1;</w:t>
      </w:r>
    </w:p>
    <w:p w14:paraId="12D251C0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Wymaganie uwierzytelnienia serwera przy pomocy certyfikatu rozpoznawalnego przez przeglądarkę jako zaufany;</w:t>
      </w:r>
    </w:p>
    <w:p w14:paraId="2996FD01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Platforma posiada opcję włączenia dwuskładnikowej autoryzacji (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two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factor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>);</w:t>
      </w:r>
    </w:p>
    <w:p w14:paraId="2074E96E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Platforma pozwala na prowadzenie wielu postępowań i akcji w tym samym czasie;</w:t>
      </w:r>
    </w:p>
    <w:p w14:paraId="402BE12D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lastRenderedPageBreak/>
        <w:t xml:space="preserve">Logowanie do platformy wymaga loginu i hasła; </w:t>
      </w:r>
    </w:p>
    <w:p w14:paraId="6E6A485F" w14:textId="77777777" w:rsidR="007B5411" w:rsidRPr="00850FEE" w:rsidRDefault="00DF3D1A" w:rsidP="00B63B08">
      <w:pPr>
        <w:numPr>
          <w:ilvl w:val="2"/>
          <w:numId w:val="7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Siłę hasła dla użytkowników może ustalić Administrator Zamawiającego, który może wymagać:</w:t>
      </w:r>
    </w:p>
    <w:p w14:paraId="7E675A38" w14:textId="492A7C9A" w:rsidR="007B5411" w:rsidRPr="00850FEE" w:rsidRDefault="00DF3D1A" w:rsidP="00B63B08">
      <w:pPr>
        <w:pStyle w:val="Akapitzlist"/>
        <w:keepNext/>
        <w:numPr>
          <w:ilvl w:val="3"/>
          <w:numId w:val="5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co najmniej 8 znaków długości;</w:t>
      </w:r>
    </w:p>
    <w:p w14:paraId="5DFD2455" w14:textId="77777777" w:rsidR="007B5411" w:rsidRPr="00850FEE" w:rsidRDefault="00DF3D1A" w:rsidP="00B63B08">
      <w:pPr>
        <w:numPr>
          <w:ilvl w:val="3"/>
          <w:numId w:val="5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obowiązek zawierania co najmniej: jedną wielką literę (A-Z), jedną małą literę (a-z), dwa znaki specjalnie niesąsiadujące ze sobą, jedną cyfrę (0-9);</w:t>
      </w:r>
    </w:p>
    <w:p w14:paraId="5367B2CF" w14:textId="77777777" w:rsidR="007B5411" w:rsidRPr="00850FEE" w:rsidRDefault="00DF3D1A" w:rsidP="00B63B08">
      <w:pPr>
        <w:numPr>
          <w:ilvl w:val="3"/>
          <w:numId w:val="5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>maksymalny okres ważności hasła 60 dni;</w:t>
      </w:r>
    </w:p>
    <w:p w14:paraId="4C43988C" w14:textId="77777777" w:rsidR="007B5411" w:rsidRPr="00850FEE" w:rsidRDefault="00DF3D1A" w:rsidP="00B63B08">
      <w:pPr>
        <w:numPr>
          <w:ilvl w:val="3"/>
          <w:numId w:val="5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>minimalny okres ważności hasła 1 dzień;</w:t>
      </w:r>
    </w:p>
    <w:p w14:paraId="58401B88" w14:textId="77777777" w:rsidR="007B5411" w:rsidRPr="00850FEE" w:rsidRDefault="00DF3D1A" w:rsidP="00B63B08">
      <w:pPr>
        <w:numPr>
          <w:ilvl w:val="3"/>
          <w:numId w:val="5"/>
        </w:numPr>
        <w:spacing w:before="60" w:after="60" w:line="288" w:lineRule="auto"/>
        <w:ind w:left="1843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>historia haseł: hasło nie może się powtarzać przez 6 kolejnych haseł, nowe hasło musi różnić się od poprzedniego co najmniej 2 znakami.</w:t>
      </w:r>
    </w:p>
    <w:p w14:paraId="2E6D2718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993" w:hanging="142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Aspekty bezpieczeństwa, które są wymagane od platformy:</w:t>
      </w:r>
    </w:p>
    <w:p w14:paraId="2C8192C5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Kontroluje poprawność wprowadzanych przez użytkownika danych. W wybranych polach wymusza poprawność wprowadzanych danych przez odpowiedni komunikat;</w:t>
      </w:r>
    </w:p>
    <w:p w14:paraId="01E85B40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Odporność na ataki przez powtórzenie;</w:t>
      </w:r>
    </w:p>
    <w:p w14:paraId="4A0144E5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Kodowanie znaków UTF-8;</w:t>
      </w:r>
    </w:p>
    <w:p w14:paraId="2DBCEA33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Kodowanie stron wg standardów HTML5 oraz CSS3 zakończoną poprawną walidacją w narzędziu W3C (poza błędami typu “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Warning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”); </w:t>
      </w:r>
    </w:p>
    <w:p w14:paraId="43716B50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Dynamiczna wartość bez stosowania Adobe Flash i Oracle Java; </w:t>
      </w:r>
    </w:p>
    <w:p w14:paraId="712EAC28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Prawidłowe działania pod najnowszymi stabilnymi wersjami przeglądarek Mozilla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Firefox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, Internet Explorer oraz Google Chrome; </w:t>
      </w:r>
    </w:p>
    <w:p w14:paraId="268F8167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Eliminuje ewentualne problemy komunikacyjne poprzez “zamykanie” niedokończonych sesji;</w:t>
      </w:r>
    </w:p>
    <w:p w14:paraId="6A642475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Kontroluje poprawność wprowadzonych przez użytkownika danych; </w:t>
      </w:r>
    </w:p>
    <w:p w14:paraId="1ED786C1" w14:textId="77777777" w:rsidR="007B5411" w:rsidRPr="00850FEE" w:rsidRDefault="00DF3D1A" w:rsidP="00B63B08">
      <w:pPr>
        <w:numPr>
          <w:ilvl w:val="2"/>
          <w:numId w:val="1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System powinien być napisany w RWD (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</w:rPr>
        <w:t>Responsive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web design) minimum dla stron po stronie Wykonawców.</w:t>
      </w:r>
    </w:p>
    <w:p w14:paraId="4D596351" w14:textId="77777777" w:rsidR="007B5411" w:rsidRPr="00850FEE" w:rsidRDefault="00DF3D1A" w:rsidP="00B63B08">
      <w:pPr>
        <w:numPr>
          <w:ilvl w:val="0"/>
          <w:numId w:val="8"/>
        </w:numPr>
        <w:spacing w:before="60" w:after="60" w:line="288" w:lineRule="auto"/>
        <w:ind w:left="426" w:hanging="284"/>
        <w:jc w:val="both"/>
        <w:rPr>
          <w:rFonts w:asciiTheme="majorHAnsi" w:eastAsia="Arial Narrow" w:hAnsiTheme="majorHAnsi" w:cstheme="majorHAnsi"/>
          <w:b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>Gwarantowany poziom świadczenia usług</w:t>
      </w:r>
    </w:p>
    <w:p w14:paraId="79440605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highlight w:val="white"/>
        </w:rPr>
        <w:t xml:space="preserve">Operator platformy zakupowej gwarantuje stabilność działania platformy na minimalnym poziomie 99,7% w skali roku, mierzoną 24h / 7. Stabilność mierzona jest jako stosunek liczby godzin, w czasie których system był dostępny, do całkowitej liczby godzin w danym miesiącu. </w:t>
      </w:r>
    </w:p>
    <w:p w14:paraId="41A7E7BA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Awarie lub problemy z działaniem systemu mogą być zgłaszane telefonicznie pod numer: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highlight w:val="lightGray"/>
        </w:rPr>
        <w:t>…………….,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pocztą elektroniczną na adres: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highlight w:val="lightGray"/>
        </w:rPr>
        <w:t>……………………………………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 xml:space="preserve"> lub poprzez specjalny formularz na wskazanej stronie WWW, tj.: </w:t>
      </w:r>
      <w:r w:rsidRPr="00850FEE">
        <w:rPr>
          <w:rFonts w:asciiTheme="majorHAnsi" w:eastAsia="Arial Narrow" w:hAnsiTheme="majorHAnsi" w:cstheme="majorHAnsi"/>
          <w:b/>
          <w:sz w:val="20"/>
          <w:szCs w:val="20"/>
          <w:highlight w:val="lightGray"/>
        </w:rPr>
        <w:t>……………………...</w:t>
      </w:r>
      <w:r w:rsidRPr="00850FEE">
        <w:rPr>
          <w:rFonts w:asciiTheme="majorHAnsi" w:eastAsia="Arial Narrow" w:hAnsiTheme="majorHAnsi" w:cstheme="majorHAnsi"/>
          <w:b/>
          <w:sz w:val="20"/>
          <w:szCs w:val="20"/>
        </w:rPr>
        <w:t xml:space="preserve"> 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>po zalogowaniu do systemu. W obu przypadkach elektronicznego zgłoszenia Zamawiający otrzymuje zwrotnie na e-maila potwierdzenie wysłania zgłoszenia.</w:t>
      </w:r>
    </w:p>
    <w:p w14:paraId="6171926D" w14:textId="77777777" w:rsidR="007B5411" w:rsidRPr="00850FEE" w:rsidRDefault="00DF3D1A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Problemy mogą być zgłaszane przez użytkowników ze strony Zamawiającego oraz Wykonawców.</w:t>
      </w:r>
    </w:p>
    <w:p w14:paraId="405A8D47" w14:textId="77777777" w:rsidR="004827AA" w:rsidRDefault="00DF3D1A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sz w:val="20"/>
          <w:szCs w:val="20"/>
        </w:rPr>
        <w:t>Maksymalne czasy reakcji w przypadku problemów z platformą będą liczone w godzinach pracy pracowników helpdesk i nie przekroczą poniższych czasów:</w:t>
      </w:r>
    </w:p>
    <w:tbl>
      <w:tblPr>
        <w:tblW w:w="9213" w:type="dxa"/>
        <w:tblInd w:w="10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26"/>
        <w:gridCol w:w="3685"/>
        <w:gridCol w:w="3402"/>
      </w:tblGrid>
      <w:tr w:rsidR="004827AA" w:rsidRPr="00850FEE" w14:paraId="219E5B9D" w14:textId="77777777" w:rsidTr="001236F8"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50" w:type="dxa"/>
            </w:tcMar>
          </w:tcPr>
          <w:p w14:paraId="6AD0E342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Problem 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50" w:type="dxa"/>
            </w:tcMar>
          </w:tcPr>
          <w:p w14:paraId="6AAB59FA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Maksymalny czas reakcji do: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50" w:type="dxa"/>
            </w:tcMar>
          </w:tcPr>
          <w:p w14:paraId="4AA7C787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Maksymalny czas rozwiązania do:</w:t>
            </w:r>
          </w:p>
        </w:tc>
      </w:tr>
      <w:tr w:rsidR="004827AA" w:rsidRPr="00850FEE" w14:paraId="6EA4902C" w14:textId="77777777" w:rsidTr="001236F8">
        <w:trPr>
          <w:trHeight w:val="345"/>
        </w:trPr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50" w:type="dxa"/>
            </w:tcMar>
          </w:tcPr>
          <w:p w14:paraId="532D5A25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Awaria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DE81B8E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sz w:val="20"/>
                <w:szCs w:val="20"/>
              </w:rPr>
              <w:t>4 godzin 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C75CF76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sz w:val="20"/>
                <w:szCs w:val="20"/>
              </w:rPr>
              <w:t>24 godzin</w:t>
            </w:r>
          </w:p>
        </w:tc>
      </w:tr>
      <w:tr w:rsidR="004827AA" w:rsidRPr="00850FEE" w14:paraId="68B500F8" w14:textId="77777777" w:rsidTr="001236F8"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50" w:type="dxa"/>
            </w:tcMar>
          </w:tcPr>
          <w:p w14:paraId="3A3BCB91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Błąd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22FD3C97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sz w:val="20"/>
                <w:szCs w:val="20"/>
              </w:rPr>
              <w:t>8 godzin 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80A2832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sz w:val="20"/>
                <w:szCs w:val="20"/>
              </w:rPr>
              <w:t>96 godzin </w:t>
            </w:r>
          </w:p>
        </w:tc>
      </w:tr>
      <w:tr w:rsidR="004827AA" w:rsidRPr="00850FEE" w14:paraId="5F31D7E0" w14:textId="77777777" w:rsidTr="001236F8"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50" w:type="dxa"/>
            </w:tcMar>
          </w:tcPr>
          <w:p w14:paraId="02F31F23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Usterka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3FE2A8D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sz w:val="20"/>
                <w:szCs w:val="20"/>
              </w:rPr>
              <w:t>48 godzin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8B33CD8" w14:textId="77777777" w:rsidR="004827AA" w:rsidRPr="00850FEE" w:rsidRDefault="004827AA" w:rsidP="00B63B08">
            <w:pPr>
              <w:spacing w:before="60" w:after="60" w:line="288" w:lineRule="auto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850FEE">
              <w:rPr>
                <w:rFonts w:asciiTheme="majorHAnsi" w:eastAsia="Arial Narrow" w:hAnsiTheme="majorHAnsi" w:cstheme="majorHAnsi"/>
                <w:sz w:val="20"/>
                <w:szCs w:val="20"/>
              </w:rPr>
              <w:t>7 dni roboczych</w:t>
            </w:r>
          </w:p>
        </w:tc>
      </w:tr>
    </w:tbl>
    <w:p w14:paraId="24E7C72E" w14:textId="77777777" w:rsidR="004827AA" w:rsidRDefault="004827AA" w:rsidP="00B63B08">
      <w:pPr>
        <w:spacing w:before="60" w:after="60" w:line="288" w:lineRule="auto"/>
        <w:jc w:val="both"/>
        <w:rPr>
          <w:rFonts w:asciiTheme="majorHAnsi" w:eastAsia="Arial Narrow" w:hAnsiTheme="majorHAnsi" w:cstheme="majorHAnsi"/>
          <w:sz w:val="20"/>
          <w:szCs w:val="20"/>
        </w:rPr>
      </w:pPr>
    </w:p>
    <w:p w14:paraId="2AFE7AF0" w14:textId="77777777" w:rsidR="004827AA" w:rsidRDefault="00EC547D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sz w:val="20"/>
          <w:szCs w:val="20"/>
          <w:highlight w:val="white"/>
        </w:rPr>
        <w:t>Czas Awarii liczony jest jako czas niedostępności systemu. W przypadku przekroczenia dopuszczalnych czasów rozwiązania Błędów i Usterek, czas przekroczenia liczony jest również jako czas niedostępności systemu.</w:t>
      </w:r>
    </w:p>
    <w:p w14:paraId="3B5DAC06" w14:textId="77777777" w:rsidR="004827AA" w:rsidRDefault="00DF3D1A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lastRenderedPageBreak/>
        <w:t>Po otrzymaniu informacji o problemie jest on kwalifikowany jako Awaria, Błąd lub Usterka.</w:t>
      </w:r>
    </w:p>
    <w:p w14:paraId="4E5A55BB" w14:textId="139D3162" w:rsidR="007B5411" w:rsidRPr="004827AA" w:rsidRDefault="00EC547D" w:rsidP="00B63B08">
      <w:pPr>
        <w:numPr>
          <w:ilvl w:val="1"/>
          <w:numId w:val="8"/>
        </w:numPr>
        <w:spacing w:before="60" w:after="60" w:line="288" w:lineRule="auto"/>
        <w:ind w:left="993" w:hanging="283"/>
        <w:jc w:val="both"/>
        <w:rPr>
          <w:rFonts w:asciiTheme="majorHAnsi" w:eastAsia="Arial Narrow" w:hAnsiTheme="majorHAnsi" w:cstheme="majorHAnsi"/>
          <w:sz w:val="20"/>
          <w:szCs w:val="20"/>
        </w:rPr>
      </w:pPr>
      <w:r w:rsidRPr="004827AA">
        <w:rPr>
          <w:rFonts w:asciiTheme="majorHAnsi" w:eastAsia="Arial Narrow" w:hAnsiTheme="majorHAnsi" w:cstheme="majorHAnsi"/>
          <w:color w:val="000000"/>
          <w:sz w:val="20"/>
          <w:szCs w:val="20"/>
          <w:shd w:val="clear" w:color="auto" w:fill="FFFFFF"/>
        </w:rPr>
        <w:t>Problemy usuwane będą w ramach i w cenie świadczonych usług.</w:t>
      </w:r>
    </w:p>
    <w:p w14:paraId="7A97D48D" w14:textId="77777777" w:rsidR="007B5411" w:rsidRPr="00850FEE" w:rsidRDefault="00DF3D1A" w:rsidP="00B63B08">
      <w:pPr>
        <w:keepNext/>
        <w:numPr>
          <w:ilvl w:val="0"/>
          <w:numId w:val="8"/>
        </w:numPr>
        <w:tabs>
          <w:tab w:val="left" w:pos="426"/>
        </w:tabs>
        <w:spacing w:before="60" w:after="60" w:line="288" w:lineRule="auto"/>
        <w:ind w:hanging="578"/>
        <w:jc w:val="both"/>
        <w:rPr>
          <w:rFonts w:asciiTheme="majorHAnsi" w:eastAsia="Arial Narrow" w:hAnsiTheme="majorHAnsi" w:cstheme="majorHAnsi"/>
          <w:b/>
          <w:color w:val="000000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b/>
          <w:color w:val="000000"/>
          <w:sz w:val="20"/>
          <w:szCs w:val="20"/>
          <w:highlight w:val="white"/>
        </w:rPr>
        <w:t>Zgłaszanie problemów technicznych:</w:t>
      </w:r>
    </w:p>
    <w:p w14:paraId="2DC21B76" w14:textId="77777777" w:rsidR="007B5411" w:rsidRPr="00850FEE" w:rsidRDefault="00DF3D1A" w:rsidP="00B63B08">
      <w:pPr>
        <w:keepNext/>
        <w:numPr>
          <w:ilvl w:val="1"/>
          <w:numId w:val="8"/>
        </w:numPr>
        <w:spacing w:before="60" w:after="60" w:line="288" w:lineRule="auto"/>
        <w:ind w:left="993" w:hanging="284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Wymagania dla Service </w:t>
      </w:r>
      <w:proofErr w:type="spellStart"/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Desk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– zgłoszenia będą przekazywane przez użytkowników platformy jednym ze sposobów, opisanych poniżej. Fakt przekazania zgłoszenia będzie odnotowany w systemie Service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Desk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Wykonawcy oraz zostanie mu nadany numer identyfikacyjny. Rejestracja zgłoszenia powinna nastąpić nie później niż 10 minut od czasu zarejestrowania zgłoszenia, a użytkownik Platformy winien otrzymać o tym stosowne powiadomienie (np. wiadomość e-mail z potwierdzeniem przyjęcia zgłoszenia wraz z numerem identyfikacyjnym). Zgłoszenia muszą być na czas trwania Umowy archiwizowane</w:t>
      </w:r>
      <w:r w:rsidRPr="00850FEE">
        <w:rPr>
          <w:rFonts w:asciiTheme="majorHAnsi" w:eastAsia="Arial Narrow" w:hAnsiTheme="majorHAnsi" w:cstheme="majorHAnsi"/>
          <w:sz w:val="20"/>
          <w:szCs w:val="20"/>
        </w:rPr>
        <w:t>.</w:t>
      </w:r>
    </w:p>
    <w:p w14:paraId="0AA449A0" w14:textId="77777777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Zgłoszenie mailowe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– każdy użytkownik platformy może wysłać e-mail ze zgłoszeniem zawierającym opis incydentu lub pytanie na adres poczty elektronicznej Wykonawcy;</w:t>
      </w:r>
    </w:p>
    <w:p w14:paraId="02F3478C" w14:textId="0FC114F9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Zgłoszenie za pośrednictwem formularza dostępnego na platformie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– każdy użytkownik platformy może wysłać zgłoszenie za pomocą formularza dostępnego po zalogowaniu się</w:t>
      </w:r>
      <w:r w:rsidR="00CA312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,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zawierające opis incydentu lub pytanie na adres poczty elektronicznej Wykonawcy;</w:t>
      </w:r>
    </w:p>
    <w:p w14:paraId="4A0C7404" w14:textId="60942ABC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 xml:space="preserve">Zgłoszenie za pośrednictwem czatu dostępnego na platformie 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– każdy użytkownik platformy może wysłać zgłoszenie za pomocą czatu dostępnego po zalogowaniu się</w:t>
      </w:r>
      <w:r w:rsidR="00CA312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,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zawierając</w:t>
      </w:r>
      <w:r w:rsidR="00CA312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e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opis incydentu lub pytanie na adres poczty elektronicznej Wykonawcy.</w:t>
      </w:r>
    </w:p>
    <w:p w14:paraId="5ACB9319" w14:textId="77777777" w:rsidR="007B5411" w:rsidRPr="00850FEE" w:rsidRDefault="00DF3D1A" w:rsidP="00B63B08">
      <w:pPr>
        <w:keepNext/>
        <w:numPr>
          <w:ilvl w:val="1"/>
          <w:numId w:val="8"/>
        </w:numPr>
        <w:spacing w:before="60" w:after="60" w:line="288" w:lineRule="auto"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850FEE">
        <w:rPr>
          <w:rFonts w:asciiTheme="majorHAnsi" w:eastAsia="Arial Narrow" w:hAnsiTheme="majorHAnsi" w:cstheme="majorHAnsi"/>
          <w:b/>
          <w:sz w:val="20"/>
          <w:szCs w:val="20"/>
          <w:shd w:val="clear" w:color="auto" w:fill="FFFFFF"/>
        </w:rPr>
        <w:t>Realizacja zgłoszeń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– w przypadku, gdy opis zgłoszenia jest niejasny lub niekompletny wówczas doradca Help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Desk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Operatora platformy powinien zwrócić się z prośbą do osoby zgłaszającej o uzupełnienie informacji.</w:t>
      </w:r>
    </w:p>
    <w:p w14:paraId="4ED7082A" w14:textId="2F385433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Doradca Service </w:t>
      </w:r>
      <w:proofErr w:type="spellStart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Desk</w:t>
      </w:r>
      <w:proofErr w:type="spellEnd"/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Operatora platformy po zrealizowaniu zgłoszenia odpowiada zgłaszającemu</w:t>
      </w:r>
      <w:r w:rsidR="00CA3121"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.</w:t>
      </w: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 xml:space="preserve"> </w:t>
      </w:r>
    </w:p>
    <w:p w14:paraId="2A61042F" w14:textId="77777777" w:rsidR="007B5411" w:rsidRPr="00850FEE" w:rsidRDefault="00DF3D1A" w:rsidP="00B63B08">
      <w:pPr>
        <w:keepNext/>
        <w:numPr>
          <w:ilvl w:val="2"/>
          <w:numId w:val="8"/>
        </w:numPr>
        <w:spacing w:before="60" w:after="60" w:line="288" w:lineRule="auto"/>
        <w:ind w:left="1418" w:hanging="425"/>
        <w:jc w:val="both"/>
        <w:rPr>
          <w:rFonts w:asciiTheme="majorHAnsi" w:eastAsia="Arial Narrow" w:hAnsiTheme="majorHAnsi" w:cstheme="majorHAnsi"/>
          <w:sz w:val="20"/>
          <w:szCs w:val="20"/>
          <w:highlight w:val="white"/>
        </w:rPr>
      </w:pPr>
      <w:r w:rsidRPr="00850FEE">
        <w:rPr>
          <w:rFonts w:asciiTheme="majorHAnsi" w:eastAsia="Arial Narrow" w:hAnsiTheme="majorHAnsi" w:cstheme="majorHAnsi"/>
          <w:sz w:val="20"/>
          <w:szCs w:val="20"/>
          <w:shd w:val="clear" w:color="auto" w:fill="FFFFFF"/>
        </w:rPr>
        <w:t>W przypadku, w którym użytkownik uzna, że zgłoszenie nie zostało rozwiązane, może odpisać Operatorowi platformy, i tym samym zgłoszenie musi automatycznie się wznowić, zachowując historię z poprzedniej korespondencji.</w:t>
      </w:r>
    </w:p>
    <w:p w14:paraId="429F1184" w14:textId="77777777" w:rsidR="007B5411" w:rsidRPr="00850FEE" w:rsidRDefault="007B5411" w:rsidP="00B63B08">
      <w:pPr>
        <w:keepNext/>
        <w:spacing w:before="60" w:after="60" w:line="288" w:lineRule="auto"/>
        <w:ind w:left="1418"/>
        <w:jc w:val="both"/>
        <w:rPr>
          <w:rFonts w:asciiTheme="majorHAnsi" w:eastAsia="Arial Narrow" w:hAnsiTheme="majorHAnsi" w:cstheme="majorHAnsi"/>
          <w:b/>
          <w:color w:val="000000"/>
          <w:sz w:val="20"/>
          <w:szCs w:val="20"/>
          <w:shd w:val="clear" w:color="auto" w:fill="FFFFFF"/>
        </w:rPr>
      </w:pPr>
    </w:p>
    <w:p w14:paraId="6B6FBCF5" w14:textId="77777777" w:rsidR="007B5411" w:rsidRPr="00850FEE" w:rsidRDefault="007B5411" w:rsidP="00B63B08">
      <w:pPr>
        <w:keepNext/>
        <w:spacing w:before="60" w:after="60" w:line="288" w:lineRule="auto"/>
        <w:ind w:left="1418"/>
        <w:jc w:val="both"/>
        <w:rPr>
          <w:rFonts w:asciiTheme="majorHAnsi" w:eastAsia="Arial Narrow" w:hAnsiTheme="majorHAnsi" w:cstheme="majorHAnsi"/>
          <w:b/>
          <w:color w:val="000000"/>
          <w:sz w:val="20"/>
          <w:szCs w:val="20"/>
          <w:shd w:val="clear" w:color="auto" w:fill="FFFFFF"/>
        </w:rPr>
      </w:pPr>
    </w:p>
    <w:p w14:paraId="38B0F233" w14:textId="77777777" w:rsidR="007B5411" w:rsidRPr="00850FEE" w:rsidRDefault="007B5411" w:rsidP="00B63B08">
      <w:pPr>
        <w:keepNext/>
        <w:spacing w:before="60" w:after="60" w:line="288" w:lineRule="auto"/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sectPr w:rsidR="007B5411" w:rsidRPr="00850FEE">
      <w:headerReference w:type="default" r:id="rId9"/>
      <w:footerReference w:type="default" r:id="rId10"/>
      <w:pgSz w:w="11906" w:h="16838"/>
      <w:pgMar w:top="760" w:right="851" w:bottom="709" w:left="851" w:header="0" w:footer="408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3AE15" w14:textId="77777777" w:rsidR="00B04478" w:rsidRDefault="00B04478">
      <w:pPr>
        <w:spacing w:line="240" w:lineRule="auto"/>
      </w:pPr>
      <w:r>
        <w:separator/>
      </w:r>
    </w:p>
  </w:endnote>
  <w:endnote w:type="continuationSeparator" w:id="0">
    <w:p w14:paraId="142669E7" w14:textId="77777777" w:rsidR="00B04478" w:rsidRDefault="00B04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4DDEA" w14:textId="77777777" w:rsidR="007B5411" w:rsidRDefault="00DF3D1A">
    <w:pPr>
      <w:keepNext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919CD">
      <w:rPr>
        <w:noProof/>
      </w:rPr>
      <w:t>6</w:t>
    </w:r>
    <w:r>
      <w:fldChar w:fldCharType="end"/>
    </w:r>
  </w:p>
  <w:p w14:paraId="6B6239C4" w14:textId="77777777" w:rsidR="007B5411" w:rsidRDefault="007B5411">
    <w:pPr>
      <w:widowControl w:val="0"/>
      <w:tabs>
        <w:tab w:val="center" w:pos="4536"/>
        <w:tab w:val="right" w:pos="9072"/>
      </w:tabs>
      <w:spacing w:before="4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7A25F" w14:textId="77777777" w:rsidR="00B04478" w:rsidRDefault="00B04478">
      <w:pPr>
        <w:spacing w:line="240" w:lineRule="auto"/>
      </w:pPr>
      <w:r>
        <w:separator/>
      </w:r>
    </w:p>
  </w:footnote>
  <w:footnote w:type="continuationSeparator" w:id="0">
    <w:p w14:paraId="0038A0AF" w14:textId="77777777" w:rsidR="00B04478" w:rsidRDefault="00B04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5A5F" w14:textId="1DE3BD2A" w:rsidR="00CC2747" w:rsidRPr="00B63B08" w:rsidRDefault="00CC2747" w:rsidP="00CC2747">
    <w:pPr>
      <w:spacing w:before="240" w:line="240" w:lineRule="auto"/>
      <w:rPr>
        <w:rFonts w:asciiTheme="majorHAnsi" w:eastAsia="Arial Narrow" w:hAnsiTheme="majorHAnsi" w:cstheme="majorHAnsi"/>
        <w:bCs/>
        <w:sz w:val="20"/>
        <w:szCs w:val="20"/>
      </w:rPr>
    </w:pPr>
    <w:r>
      <w:rPr>
        <w:rFonts w:ascii="Times New Roman" w:eastAsia="Arial Narrow" w:hAnsi="Times New Roman" w:cs="Arial Narrow"/>
        <w:b/>
        <w:sz w:val="20"/>
        <w:szCs w:val="20"/>
      </w:rPr>
      <w:t xml:space="preserve">                                                                                                                           </w:t>
    </w:r>
    <w:r w:rsidRPr="00B63B08">
      <w:rPr>
        <w:rFonts w:asciiTheme="majorHAnsi" w:eastAsia="Arial Narrow" w:hAnsiTheme="majorHAnsi" w:cstheme="majorHAnsi"/>
        <w:bCs/>
        <w:sz w:val="20"/>
        <w:szCs w:val="20"/>
      </w:rPr>
      <w:t xml:space="preserve">Załącznik nr 2 </w:t>
    </w:r>
    <w:r w:rsidR="00850FEE" w:rsidRPr="00B63B08">
      <w:rPr>
        <w:rFonts w:asciiTheme="majorHAnsi" w:eastAsia="Arial Narrow" w:hAnsiTheme="majorHAnsi" w:cstheme="majorHAnsi"/>
        <w:bCs/>
        <w:sz w:val="20"/>
        <w:szCs w:val="20"/>
      </w:rPr>
      <w:t>do zaproszenia</w:t>
    </w:r>
  </w:p>
  <w:p w14:paraId="0C29F8BD" w14:textId="51CEF262" w:rsidR="00CC2747" w:rsidRPr="00A266BD" w:rsidRDefault="00CC2747" w:rsidP="00CC2747">
    <w:pPr>
      <w:pStyle w:val="Nagwek"/>
      <w:rPr>
        <w:rFonts w:hint="eastAsia"/>
        <w:sz w:val="18"/>
        <w:szCs w:val="18"/>
      </w:rPr>
    </w:pPr>
    <w:r w:rsidRPr="00A266BD">
      <w:rPr>
        <w:rFonts w:ascii="Arial Narrow" w:eastAsia="Arial Narrow" w:hAnsi="Arial Narrow" w:cs="Arial Narrow"/>
        <w:b/>
        <w:sz w:val="18"/>
        <w:szCs w:val="18"/>
      </w:rPr>
      <w:t xml:space="preserve">                                                                                                           </w:t>
    </w:r>
    <w:r w:rsidR="00A266BD">
      <w:rPr>
        <w:rFonts w:ascii="Arial Narrow" w:eastAsia="Arial Narrow" w:hAnsi="Arial Narrow" w:cs="Arial Narrow"/>
        <w:b/>
        <w:sz w:val="18"/>
        <w:szCs w:val="18"/>
      </w:rPr>
      <w:t xml:space="preserve">                                                                     </w:t>
    </w:r>
    <w:r w:rsidR="00850FEE">
      <w:rPr>
        <w:rFonts w:ascii="Arial Narrow" w:eastAsia="Arial Narrow" w:hAnsi="Arial Narrow" w:cs="Arial Narrow"/>
        <w:b/>
        <w:sz w:val="18"/>
        <w:szCs w:val="18"/>
      </w:rPr>
      <w:t xml:space="preserve"> SPL/49</w:t>
    </w:r>
    <w:r w:rsidRPr="00A266BD">
      <w:rPr>
        <w:rFonts w:ascii="Arial Narrow" w:eastAsia="Arial Narrow" w:hAnsi="Arial Narrow" w:cs="Arial Narrow"/>
        <w:b/>
        <w:sz w:val="18"/>
        <w:szCs w:val="18"/>
      </w:rPr>
      <w:t>/</w:t>
    </w:r>
    <w:r w:rsidR="00850FEE">
      <w:rPr>
        <w:rFonts w:ascii="Arial Narrow" w:eastAsia="Arial Narrow" w:hAnsi="Arial Narrow" w:cs="Arial Narrow"/>
        <w:b/>
        <w:sz w:val="18"/>
        <w:szCs w:val="18"/>
      </w:rPr>
      <w:t>KC</w:t>
    </w:r>
    <w:r w:rsidRPr="00A266BD">
      <w:rPr>
        <w:rFonts w:ascii="Arial Narrow" w:eastAsia="Arial Narrow" w:hAnsi="Arial Narrow" w:cs="Arial Narrow"/>
        <w:b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EBC"/>
    <w:multiLevelType w:val="multilevel"/>
    <w:tmpl w:val="5912A1DE"/>
    <w:lvl w:ilvl="0">
      <w:start w:val="2"/>
      <w:numFmt w:val="decimal"/>
      <w:lvlText w:val="%1"/>
      <w:lvlJc w:val="left"/>
      <w:pPr>
        <w:ind w:left="765" w:hanging="765"/>
      </w:pPr>
    </w:lvl>
    <w:lvl w:ilvl="1">
      <w:start w:val="11"/>
      <w:numFmt w:val="decimal"/>
      <w:lvlText w:val="%1.%2"/>
      <w:lvlJc w:val="left"/>
      <w:pPr>
        <w:ind w:left="1605" w:hanging="765"/>
      </w:pPr>
    </w:lvl>
    <w:lvl w:ilvl="2">
      <w:start w:val="17"/>
      <w:numFmt w:val="decimal"/>
      <w:lvlText w:val="%1.%2.%3"/>
      <w:lvlJc w:val="left"/>
      <w:pPr>
        <w:ind w:left="2445" w:hanging="765"/>
      </w:pPr>
    </w:lvl>
    <w:lvl w:ilvl="3">
      <w:start w:val="1"/>
      <w:numFmt w:val="lowerLetter"/>
      <w:lvlText w:val="%4)"/>
      <w:lvlJc w:val="left"/>
      <w:pPr>
        <w:ind w:left="3285" w:hanging="765"/>
      </w:pPr>
      <w:rPr>
        <w:rFonts w:asciiTheme="majorHAnsi" w:eastAsia="Arial Narrow" w:hAnsiTheme="majorHAnsi" w:cstheme="majorHAnsi" w:hint="default"/>
        <w:b w:val="0"/>
        <w:sz w:val="20"/>
        <w:szCs w:val="22"/>
      </w:rPr>
    </w:lvl>
    <w:lvl w:ilvl="4">
      <w:start w:val="1"/>
      <w:numFmt w:val="decimal"/>
      <w:lvlText w:val="%1.%2.%3.%4.%5"/>
      <w:lvlJc w:val="left"/>
      <w:pPr>
        <w:ind w:left="4125" w:hanging="765"/>
      </w:pPr>
    </w:lvl>
    <w:lvl w:ilvl="5">
      <w:start w:val="1"/>
      <w:numFmt w:val="decimal"/>
      <w:lvlText w:val="%1.%2.%3.%4.%5.%6"/>
      <w:lvlJc w:val="left"/>
      <w:pPr>
        <w:ind w:left="5280" w:hanging="1080"/>
      </w:pPr>
    </w:lvl>
    <w:lvl w:ilvl="6">
      <w:start w:val="1"/>
      <w:numFmt w:val="decimal"/>
      <w:lvlText w:val="%1.%2.%3.%4.%5.%6.%7"/>
      <w:lvlJc w:val="left"/>
      <w:pPr>
        <w:ind w:left="6120" w:hanging="1080"/>
      </w:pPr>
    </w:lvl>
    <w:lvl w:ilvl="7">
      <w:start w:val="1"/>
      <w:numFmt w:val="decimal"/>
      <w:lvlText w:val="%1.%2.%3.%4.%5.%6.%7.%8"/>
      <w:lvlJc w:val="left"/>
      <w:pPr>
        <w:ind w:left="7320" w:hanging="1440"/>
      </w:pPr>
    </w:lvl>
    <w:lvl w:ilvl="8">
      <w:start w:val="1"/>
      <w:numFmt w:val="decimal"/>
      <w:lvlText w:val="%1.%2.%3.%4.%5.%6.%7.%8.%9"/>
      <w:lvlJc w:val="left"/>
      <w:pPr>
        <w:ind w:left="8160" w:hanging="1440"/>
      </w:pPr>
    </w:lvl>
  </w:abstractNum>
  <w:abstractNum w:abstractNumId="1">
    <w:nsid w:val="16223B80"/>
    <w:multiLevelType w:val="multilevel"/>
    <w:tmpl w:val="69460CC6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sz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b w:val="0"/>
        <w:sz w:val="2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Theme="majorHAnsi" w:hAnsiTheme="majorHAnsi" w:cstheme="majorHAnsi" w:hint="default"/>
        <w:b w:val="0"/>
        <w:sz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Times New Roman" w:hAnsi="Times New Roman"/>
        <w:b w:val="0"/>
        <w:sz w:val="2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Times New Roman" w:hAnsi="Times New Roman"/>
        <w:b w:val="0"/>
        <w:sz w:val="2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Times New Roman" w:hAnsi="Times New Roman"/>
        <w:b w:val="0"/>
        <w:sz w:val="2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Times New Roman" w:hAnsi="Times New Roman"/>
        <w:b w:val="0"/>
        <w:sz w:val="2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Times New Roman" w:hAnsi="Times New Roman"/>
        <w:b w:val="0"/>
        <w:sz w:val="2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Times New Roman" w:hAnsi="Times New Roman"/>
        <w:b w:val="0"/>
        <w:sz w:val="20"/>
        <w:u w:val="none"/>
      </w:rPr>
    </w:lvl>
  </w:abstractNum>
  <w:abstractNum w:abstractNumId="2">
    <w:nsid w:val="17D32B29"/>
    <w:multiLevelType w:val="multilevel"/>
    <w:tmpl w:val="18CCB59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/>
        <w:b w:val="0"/>
        <w:color w:val="000000"/>
        <w:sz w:val="20"/>
      </w:rPr>
    </w:lvl>
  </w:abstractNum>
  <w:abstractNum w:abstractNumId="3">
    <w:nsid w:val="1DD2413E"/>
    <w:multiLevelType w:val="multilevel"/>
    <w:tmpl w:val="581A58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6133F1"/>
    <w:multiLevelType w:val="multilevel"/>
    <w:tmpl w:val="457C202C"/>
    <w:lvl w:ilvl="0">
      <w:start w:val="1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Arial Narrow" w:hAnsi="Times New Roman" w:cs="Arial Narrow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b/>
        <w:color w:val="000000"/>
      </w:rPr>
    </w:lvl>
  </w:abstractNum>
  <w:abstractNum w:abstractNumId="5">
    <w:nsid w:val="28782FBF"/>
    <w:multiLevelType w:val="multilevel"/>
    <w:tmpl w:val="D6A8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0671E7E"/>
    <w:multiLevelType w:val="multilevel"/>
    <w:tmpl w:val="F580C7F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Times New Roman" w:hAnsi="Times New Roman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7920" w:hanging="720"/>
      </w:pPr>
    </w:lvl>
    <w:lvl w:ilvl="5">
      <w:start w:val="1"/>
      <w:numFmt w:val="decimal"/>
      <w:lvlText w:val="%1.%2.%3.%4.%5.%6"/>
      <w:lvlJc w:val="left"/>
      <w:pPr>
        <w:ind w:left="10080" w:hanging="1080"/>
      </w:pPr>
    </w:lvl>
    <w:lvl w:ilvl="6">
      <w:start w:val="1"/>
      <w:numFmt w:val="decimal"/>
      <w:lvlText w:val="%1.%2.%3.%4.%5.%6.%7"/>
      <w:lvlJc w:val="left"/>
      <w:pPr>
        <w:ind w:left="11880" w:hanging="1080"/>
      </w:pPr>
    </w:lvl>
    <w:lvl w:ilvl="7">
      <w:start w:val="1"/>
      <w:numFmt w:val="decimal"/>
      <w:lvlText w:val="%1.%2.%3.%4.%5.%6.%7.%8"/>
      <w:lvlJc w:val="left"/>
      <w:pPr>
        <w:ind w:left="14040" w:hanging="1440"/>
      </w:pPr>
    </w:lvl>
    <w:lvl w:ilvl="8">
      <w:start w:val="1"/>
      <w:numFmt w:val="decimal"/>
      <w:lvlText w:val="%1.%2.%3.%4.%5.%6.%7.%8.%9"/>
      <w:lvlJc w:val="left"/>
      <w:pPr>
        <w:ind w:left="15840" w:hanging="1440"/>
      </w:pPr>
    </w:lvl>
  </w:abstractNum>
  <w:abstractNum w:abstractNumId="7">
    <w:nsid w:val="47CB7CD6"/>
    <w:multiLevelType w:val="multilevel"/>
    <w:tmpl w:val="8C7CD46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sz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b w:val="0"/>
        <w:sz w:val="2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Theme="majorHAnsi" w:eastAsia="Arial Narrow" w:hAnsiTheme="majorHAnsi" w:cstheme="majorHAnsi" w:hint="default"/>
        <w:b w:val="0"/>
        <w:sz w:val="2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Times New Roman" w:hAnsi="Times New Roman"/>
        <w:b w:val="0"/>
        <w:sz w:val="2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Times New Roman" w:hAnsi="Times New Roman"/>
        <w:b w:val="0"/>
        <w:sz w:val="2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Times New Roman" w:hAnsi="Times New Roman"/>
        <w:b w:val="0"/>
        <w:sz w:val="2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Times New Roman" w:hAnsi="Times New Roman"/>
        <w:b w:val="0"/>
        <w:sz w:val="2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Times New Roman" w:hAnsi="Times New Roman"/>
        <w:b w:val="0"/>
        <w:sz w:val="20"/>
        <w:u w:val="none"/>
      </w:rPr>
    </w:lvl>
  </w:abstractNum>
  <w:abstractNum w:abstractNumId="8">
    <w:nsid w:val="4B217B1A"/>
    <w:multiLevelType w:val="multilevel"/>
    <w:tmpl w:val="BE4E505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8720" w:hanging="1440"/>
      </w:pPr>
    </w:lvl>
  </w:abstractNum>
  <w:abstractNum w:abstractNumId="9">
    <w:nsid w:val="4BAF2D17"/>
    <w:multiLevelType w:val="multilevel"/>
    <w:tmpl w:val="F6083D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6"/>
      <w:numFmt w:val="decimal"/>
      <w:lvlText w:val="%1.%2"/>
      <w:lvlJc w:val="left"/>
      <w:pPr>
        <w:ind w:left="81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ascii="Times New Roman" w:hAnsi="Times New Roman" w:hint="default"/>
        <w:sz w:val="20"/>
      </w:rPr>
    </w:lvl>
  </w:abstractNum>
  <w:abstractNum w:abstractNumId="10">
    <w:nsid w:val="56C87ADB"/>
    <w:multiLevelType w:val="multilevel"/>
    <w:tmpl w:val="E31EA06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sz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b w:val="0"/>
        <w:sz w:val="2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Theme="majorHAnsi" w:hAnsiTheme="majorHAnsi" w:cstheme="majorHAnsi" w:hint="default"/>
        <w:b w:val="0"/>
        <w:sz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Times New Roman" w:hAnsi="Times New Roman"/>
        <w:b w:val="0"/>
        <w:sz w:val="2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Times New Roman" w:hAnsi="Times New Roman"/>
        <w:b w:val="0"/>
        <w:sz w:val="2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Times New Roman" w:hAnsi="Times New Roman"/>
        <w:b w:val="0"/>
        <w:sz w:val="2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Times New Roman" w:hAnsi="Times New Roman"/>
        <w:b w:val="0"/>
        <w:sz w:val="2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Times New Roman" w:hAnsi="Times New Roman"/>
        <w:b w:val="0"/>
        <w:sz w:val="2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Times New Roman" w:hAnsi="Times New Roman"/>
        <w:b w:val="0"/>
        <w:sz w:val="20"/>
        <w:u w:val="none"/>
      </w:rPr>
    </w:lvl>
  </w:abstractNum>
  <w:abstractNum w:abstractNumId="11">
    <w:nsid w:val="59695947"/>
    <w:multiLevelType w:val="multilevel"/>
    <w:tmpl w:val="685CFCEA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 Narro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nsid w:val="7A22474F"/>
    <w:multiLevelType w:val="multilevel"/>
    <w:tmpl w:val="E5162CCE"/>
    <w:lvl w:ilvl="0">
      <w:start w:val="1"/>
      <w:numFmt w:val="decimal"/>
      <w:lvlText w:val="%1."/>
      <w:lvlJc w:val="center"/>
      <w:pPr>
        <w:ind w:left="720" w:hanging="360"/>
      </w:pPr>
      <w:rPr>
        <w:rFonts w:asciiTheme="majorHAnsi" w:hAnsiTheme="majorHAnsi" w:cstheme="majorHAnsi" w:hint="default"/>
        <w:b/>
        <w:sz w:val="20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b w:val="0"/>
        <w:sz w:val="2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Theme="majorHAnsi" w:eastAsia="Arial Narrow" w:hAnsiTheme="majorHAnsi" w:cstheme="majorHAnsi" w:hint="default"/>
        <w:b w:val="0"/>
        <w:color w:val="auto"/>
        <w:sz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Times New Roman" w:hAnsi="Times New Roman"/>
        <w:b w:val="0"/>
        <w:sz w:val="2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Times New Roman" w:hAnsi="Times New Roman"/>
        <w:b w:val="0"/>
        <w:sz w:val="2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Times New Roman" w:hAnsi="Times New Roman"/>
        <w:b w:val="0"/>
        <w:sz w:val="2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Times New Roman" w:hAnsi="Times New Roman"/>
        <w:b w:val="0"/>
        <w:sz w:val="2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Times New Roman" w:hAnsi="Times New Roman"/>
        <w:b w:val="0"/>
        <w:sz w:val="2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Times New Roman" w:hAnsi="Times New Roman"/>
        <w:b w:val="0"/>
        <w:sz w:val="20"/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11"/>
    <w:rsid w:val="00021399"/>
    <w:rsid w:val="00047E62"/>
    <w:rsid w:val="000570A0"/>
    <w:rsid w:val="000D7497"/>
    <w:rsid w:val="000E0B01"/>
    <w:rsid w:val="00227BE7"/>
    <w:rsid w:val="0026356B"/>
    <w:rsid w:val="0030427C"/>
    <w:rsid w:val="003B01B0"/>
    <w:rsid w:val="003D358D"/>
    <w:rsid w:val="004061CE"/>
    <w:rsid w:val="00414B3E"/>
    <w:rsid w:val="004827AA"/>
    <w:rsid w:val="004F0629"/>
    <w:rsid w:val="005A2AFA"/>
    <w:rsid w:val="005C35F0"/>
    <w:rsid w:val="0065487E"/>
    <w:rsid w:val="00774CDF"/>
    <w:rsid w:val="007B5411"/>
    <w:rsid w:val="008166F9"/>
    <w:rsid w:val="00850FEE"/>
    <w:rsid w:val="009126D4"/>
    <w:rsid w:val="00920ACC"/>
    <w:rsid w:val="009B12A0"/>
    <w:rsid w:val="00A266BD"/>
    <w:rsid w:val="00B04478"/>
    <w:rsid w:val="00B06BD4"/>
    <w:rsid w:val="00B63B08"/>
    <w:rsid w:val="00C919CD"/>
    <w:rsid w:val="00C91D5E"/>
    <w:rsid w:val="00CA3121"/>
    <w:rsid w:val="00CB6C77"/>
    <w:rsid w:val="00CC2747"/>
    <w:rsid w:val="00D10B89"/>
    <w:rsid w:val="00DF3D1A"/>
    <w:rsid w:val="00E257A4"/>
    <w:rsid w:val="00E45479"/>
    <w:rsid w:val="00E855E1"/>
    <w:rsid w:val="00E9562D"/>
    <w:rsid w:val="00EA41E7"/>
    <w:rsid w:val="00EC547D"/>
    <w:rsid w:val="00EE5837"/>
    <w:rsid w:val="00F658D3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7C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002F23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0822"/>
  </w:style>
  <w:style w:type="character" w:customStyle="1" w:styleId="StopkaZnak">
    <w:name w:val="Stopka Znak"/>
    <w:basedOn w:val="Domylnaczcionkaakapitu"/>
    <w:link w:val="Stopka"/>
    <w:uiPriority w:val="99"/>
    <w:qFormat/>
    <w:rsid w:val="006708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A5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A5682"/>
    <w:rPr>
      <w:vertAlign w:val="superscript"/>
    </w:rPr>
  </w:style>
  <w:style w:type="character" w:customStyle="1" w:styleId="ListLabel1">
    <w:name w:val="ListLabel 1"/>
    <w:qFormat/>
    <w:rPr>
      <w:rFonts w:ascii="Arial Narrow" w:hAnsi="Arial Narrow"/>
      <w:b w:val="0"/>
      <w:sz w:val="22"/>
      <w:u w:val="none"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ascii="Arial Narrow" w:hAnsi="Arial Narrow"/>
      <w:b w:val="0"/>
      <w:color w:val="000000"/>
      <w:sz w:val="22"/>
      <w:szCs w:val="22"/>
    </w:rPr>
  </w:style>
  <w:style w:type="character" w:customStyle="1" w:styleId="ListLabel4">
    <w:name w:val="ListLabel 4"/>
    <w:qFormat/>
    <w:rPr>
      <w:rFonts w:ascii="Arial Narrow" w:eastAsia="Arial Narrow" w:hAnsi="Arial Narrow" w:cs="Arial Narrow"/>
      <w:b w:val="0"/>
      <w:color w:val="000000"/>
      <w:sz w:val="22"/>
    </w:rPr>
  </w:style>
  <w:style w:type="character" w:customStyle="1" w:styleId="ListLabel5">
    <w:name w:val="ListLabel 5"/>
    <w:qFormat/>
    <w:rPr>
      <w:rFonts w:ascii="Arial Narrow" w:hAnsi="Arial Narrow"/>
      <w:b w:val="0"/>
      <w:sz w:val="22"/>
      <w:szCs w:val="22"/>
    </w:rPr>
  </w:style>
  <w:style w:type="character" w:customStyle="1" w:styleId="ListLabel6">
    <w:name w:val="ListLabel 6"/>
    <w:qFormat/>
    <w:rPr>
      <w:rFonts w:ascii="Arial Narrow" w:hAnsi="Arial Narrow"/>
      <w:b w:val="0"/>
      <w:color w:val="000000"/>
      <w:sz w:val="22"/>
    </w:rPr>
  </w:style>
  <w:style w:type="character" w:customStyle="1" w:styleId="ListLabel7">
    <w:name w:val="ListLabel 7"/>
    <w:qFormat/>
    <w:rPr>
      <w:rFonts w:eastAsia="Noto Sans Symbols" w:cs="Noto Sans Symbols"/>
      <w:u w:val="none"/>
    </w:rPr>
  </w:style>
  <w:style w:type="character" w:customStyle="1" w:styleId="ListLabel8">
    <w:name w:val="ListLabel 8"/>
    <w:qFormat/>
    <w:rPr>
      <w:rFonts w:ascii="Arial Narrow" w:hAnsi="Arial Narrow"/>
      <w:b/>
      <w:sz w:val="22"/>
      <w:szCs w:val="22"/>
      <w:u w:val="none"/>
    </w:rPr>
  </w:style>
  <w:style w:type="character" w:customStyle="1" w:styleId="ListLabel9">
    <w:name w:val="ListLabel 9"/>
    <w:qFormat/>
    <w:rPr>
      <w:rFonts w:ascii="Arial Narrow" w:eastAsia="Arial Narrow" w:hAnsi="Arial Narrow" w:cs="Arial Narrow"/>
      <w:b w:val="0"/>
      <w:sz w:val="22"/>
      <w:u w:val="none"/>
    </w:rPr>
  </w:style>
  <w:style w:type="character" w:customStyle="1" w:styleId="ListLabel10">
    <w:name w:val="ListLabel 10"/>
    <w:qFormat/>
    <w:rPr>
      <w:rFonts w:ascii="Arial Narrow" w:eastAsia="Arial Narrow" w:hAnsi="Arial Narrow" w:cs="Arial Narrow"/>
      <w:b w:val="0"/>
      <w:sz w:val="2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ascii="Arial Narrow" w:eastAsia="Arial Narrow" w:hAnsi="Arial Narrow" w:cs="Arial Narrow"/>
      <w:b w:val="0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sz w:val="22"/>
      <w:u w:val="none"/>
    </w:rPr>
  </w:style>
  <w:style w:type="character" w:customStyle="1" w:styleId="ListLabel15">
    <w:name w:val="ListLabel 15"/>
    <w:qFormat/>
    <w:rPr>
      <w:b/>
      <w:color w:val="000000"/>
    </w:rPr>
  </w:style>
  <w:style w:type="character" w:customStyle="1" w:styleId="ListLabel16">
    <w:name w:val="ListLabel 16"/>
    <w:qFormat/>
    <w:rPr>
      <w:rFonts w:ascii="Arial Narrow" w:hAnsi="Arial Narrow"/>
      <w:b w:val="0"/>
      <w:color w:val="000000"/>
      <w:sz w:val="22"/>
      <w:szCs w:val="22"/>
    </w:rPr>
  </w:style>
  <w:style w:type="character" w:customStyle="1" w:styleId="ListLabel17">
    <w:name w:val="ListLabel 17"/>
    <w:qFormat/>
    <w:rPr>
      <w:rFonts w:ascii="Arial Narrow" w:eastAsia="Arial Narrow" w:hAnsi="Arial Narrow" w:cs="Arial Narrow"/>
      <w:b w:val="0"/>
      <w:color w:val="000000"/>
      <w:sz w:val="22"/>
    </w:rPr>
  </w:style>
  <w:style w:type="character" w:customStyle="1" w:styleId="ListLabel18">
    <w:name w:val="ListLabel 18"/>
    <w:qFormat/>
    <w:rPr>
      <w:rFonts w:ascii="Arial Narrow" w:hAnsi="Arial Narrow"/>
      <w:b w:val="0"/>
      <w:sz w:val="22"/>
      <w:szCs w:val="22"/>
    </w:rPr>
  </w:style>
  <w:style w:type="character" w:customStyle="1" w:styleId="ListLabel19">
    <w:name w:val="ListLabel 19"/>
    <w:qFormat/>
    <w:rPr>
      <w:rFonts w:ascii="Arial Narrow" w:hAnsi="Arial Narrow"/>
      <w:b w:val="0"/>
      <w:color w:val="000000"/>
      <w:sz w:val="22"/>
    </w:rPr>
  </w:style>
  <w:style w:type="character" w:customStyle="1" w:styleId="ListLabel20">
    <w:name w:val="ListLabel 20"/>
    <w:qFormat/>
    <w:rPr>
      <w:rFonts w:cs="Noto Sans Symbols"/>
      <w:u w:val="none"/>
    </w:rPr>
  </w:style>
  <w:style w:type="character" w:customStyle="1" w:styleId="ListLabel21">
    <w:name w:val="ListLabel 21"/>
    <w:qFormat/>
    <w:rPr>
      <w:rFonts w:ascii="Arial Narrow" w:hAnsi="Arial Narrow"/>
      <w:b/>
      <w:sz w:val="22"/>
      <w:szCs w:val="22"/>
      <w:u w:val="none"/>
    </w:rPr>
  </w:style>
  <w:style w:type="character" w:customStyle="1" w:styleId="ListLabel22">
    <w:name w:val="ListLabel 22"/>
    <w:qFormat/>
    <w:rPr>
      <w:rFonts w:ascii="Arial Narrow" w:eastAsia="Arial Narrow" w:hAnsi="Arial Narrow" w:cs="Arial Narrow"/>
      <w:b w:val="0"/>
      <w:sz w:val="22"/>
      <w:u w:val="none"/>
    </w:rPr>
  </w:style>
  <w:style w:type="character" w:customStyle="1" w:styleId="ListLabel23">
    <w:name w:val="ListLabel 23"/>
    <w:qFormat/>
    <w:rPr>
      <w:rFonts w:ascii="Arial Narrow" w:hAnsi="Arial Narrow" w:cs="Arial Narrow"/>
      <w:b w:val="0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Noto Sans Symbols"/>
    </w:rPr>
  </w:style>
  <w:style w:type="character" w:customStyle="1" w:styleId="ListLabel26">
    <w:name w:val="ListLabel 26"/>
    <w:qFormat/>
    <w:rPr>
      <w:rFonts w:ascii="Arial Narrow" w:eastAsia="Arial Narrow" w:hAnsi="Arial Narrow" w:cs="Arial Narrow"/>
      <w:b w:val="0"/>
      <w:sz w:val="22"/>
      <w:szCs w:val="22"/>
    </w:rPr>
  </w:style>
  <w:style w:type="character" w:customStyle="1" w:styleId="ListLabel27">
    <w:name w:val="ListLabel 27"/>
    <w:qFormat/>
    <w:rPr>
      <w:rFonts w:ascii="Times New Roman" w:hAnsi="Times New Roman"/>
      <w:b w:val="0"/>
      <w:sz w:val="20"/>
      <w:u w:val="none"/>
    </w:rPr>
  </w:style>
  <w:style w:type="character" w:customStyle="1" w:styleId="ListLabel28">
    <w:name w:val="ListLabel 28"/>
    <w:qFormat/>
    <w:rPr>
      <w:b/>
      <w:color w:val="000000"/>
    </w:rPr>
  </w:style>
  <w:style w:type="character" w:customStyle="1" w:styleId="ListLabel29">
    <w:name w:val="ListLabel 29"/>
    <w:qFormat/>
    <w:rPr>
      <w:rFonts w:ascii="Times New Roman" w:eastAsia="Arial Narrow" w:hAnsi="Times New Roman" w:cs="Arial Narrow"/>
      <w:b w:val="0"/>
      <w:color w:val="000000"/>
      <w:sz w:val="20"/>
    </w:rPr>
  </w:style>
  <w:style w:type="character" w:customStyle="1" w:styleId="ListLabel30">
    <w:name w:val="ListLabel 30"/>
    <w:qFormat/>
    <w:rPr>
      <w:rFonts w:ascii="Times New Roman" w:hAnsi="Times New Roman"/>
      <w:b w:val="0"/>
      <w:sz w:val="20"/>
      <w:szCs w:val="22"/>
    </w:rPr>
  </w:style>
  <w:style w:type="character" w:customStyle="1" w:styleId="ListLabel31">
    <w:name w:val="ListLabel 31"/>
    <w:qFormat/>
    <w:rPr>
      <w:rFonts w:ascii="Times New Roman" w:hAnsi="Times New Roman"/>
      <w:b w:val="0"/>
      <w:color w:val="000000"/>
      <w:sz w:val="20"/>
    </w:rPr>
  </w:style>
  <w:style w:type="character" w:customStyle="1" w:styleId="ListLabel32">
    <w:name w:val="ListLabel 32"/>
    <w:qFormat/>
    <w:rPr>
      <w:rFonts w:cs="Noto Sans Symbols"/>
      <w:u w:val="none"/>
    </w:rPr>
  </w:style>
  <w:style w:type="character" w:customStyle="1" w:styleId="ListLabel33">
    <w:name w:val="ListLabel 33"/>
    <w:qFormat/>
    <w:rPr>
      <w:rFonts w:ascii="Times New Roman" w:hAnsi="Times New Roman"/>
      <w:b/>
      <w:sz w:val="20"/>
      <w:szCs w:val="22"/>
      <w:u w:val="none"/>
    </w:rPr>
  </w:style>
  <w:style w:type="character" w:customStyle="1" w:styleId="ListLabel34">
    <w:name w:val="ListLabel 34"/>
    <w:qFormat/>
    <w:rPr>
      <w:rFonts w:ascii="Times New Roman" w:eastAsia="Arial Narrow" w:hAnsi="Times New Roman" w:cs="Arial Narrow"/>
      <w:b w:val="0"/>
      <w:sz w:val="20"/>
      <w:u w:val="none"/>
    </w:rPr>
  </w:style>
  <w:style w:type="character" w:customStyle="1" w:styleId="ListLabel35">
    <w:name w:val="ListLabel 35"/>
    <w:qFormat/>
    <w:rPr>
      <w:rFonts w:ascii="Times New Roman" w:hAnsi="Times New Roman" w:cs="Arial Narrow"/>
      <w:b w:val="0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Noto Sans Symbols"/>
    </w:rPr>
  </w:style>
  <w:style w:type="character" w:customStyle="1" w:styleId="ListLabel38">
    <w:name w:val="ListLabel 38"/>
    <w:qFormat/>
    <w:rPr>
      <w:rFonts w:ascii="Times New Roman" w:eastAsia="Arial Narrow" w:hAnsi="Times New Roman" w:cs="Arial Narrow"/>
      <w:b w:val="0"/>
      <w:sz w:val="20"/>
      <w:szCs w:val="22"/>
    </w:rPr>
  </w:style>
  <w:style w:type="character" w:customStyle="1" w:styleId="ListLabel39">
    <w:name w:val="ListLabel 39"/>
    <w:qFormat/>
    <w:rPr>
      <w:rFonts w:ascii="Times New Roman" w:hAnsi="Times New Roman"/>
      <w:b w:val="0"/>
      <w:sz w:val="20"/>
      <w:u w:val="none"/>
    </w:rPr>
  </w:style>
  <w:style w:type="character" w:customStyle="1" w:styleId="ListLabel40">
    <w:name w:val="ListLabel 40"/>
    <w:qFormat/>
    <w:rPr>
      <w:b/>
      <w:color w:val="000000"/>
    </w:rPr>
  </w:style>
  <w:style w:type="character" w:customStyle="1" w:styleId="ListLabel41">
    <w:name w:val="ListLabel 41"/>
    <w:qFormat/>
    <w:rPr>
      <w:rFonts w:ascii="Times New Roman" w:eastAsia="Arial Narrow" w:hAnsi="Times New Roman" w:cs="Arial Narrow"/>
      <w:b w:val="0"/>
      <w:color w:val="000000"/>
      <w:sz w:val="20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0"/>
      <w:szCs w:val="22"/>
    </w:rPr>
  </w:style>
  <w:style w:type="character" w:customStyle="1" w:styleId="ListLabel43">
    <w:name w:val="ListLabel 43"/>
    <w:qFormat/>
    <w:rPr>
      <w:rFonts w:ascii="Times New Roman" w:hAnsi="Times New Roman"/>
      <w:b w:val="0"/>
      <w:color w:val="000000"/>
      <w:sz w:val="20"/>
    </w:rPr>
  </w:style>
  <w:style w:type="character" w:customStyle="1" w:styleId="ListLabel44">
    <w:name w:val="ListLabel 44"/>
    <w:qFormat/>
    <w:rPr>
      <w:rFonts w:cs="Noto Sans Symbols"/>
      <w:u w:val="none"/>
    </w:rPr>
  </w:style>
  <w:style w:type="character" w:customStyle="1" w:styleId="ListLabel45">
    <w:name w:val="ListLabel 45"/>
    <w:qFormat/>
    <w:rPr>
      <w:rFonts w:ascii="Times New Roman" w:hAnsi="Times New Roman"/>
      <w:b/>
      <w:sz w:val="20"/>
      <w:szCs w:val="22"/>
      <w:u w:val="none"/>
    </w:rPr>
  </w:style>
  <w:style w:type="character" w:customStyle="1" w:styleId="ListLabel46">
    <w:name w:val="ListLabel 46"/>
    <w:qFormat/>
    <w:rPr>
      <w:rFonts w:ascii="Times New Roman" w:eastAsia="Arial Narrow" w:hAnsi="Times New Roman" w:cs="Arial Narrow"/>
      <w:b w:val="0"/>
      <w:sz w:val="20"/>
      <w:u w:val="none"/>
    </w:rPr>
  </w:style>
  <w:style w:type="character" w:customStyle="1" w:styleId="ListLabel47">
    <w:name w:val="ListLabel 47"/>
    <w:qFormat/>
    <w:rPr>
      <w:rFonts w:ascii="Times New Roman" w:hAnsi="Times New Roman" w:cs="Arial Narrow"/>
      <w:b w:val="0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Noto Sans Symbols"/>
    </w:rPr>
  </w:style>
  <w:style w:type="character" w:customStyle="1" w:styleId="ListLabel50">
    <w:name w:val="ListLabel 50"/>
    <w:qFormat/>
    <w:rPr>
      <w:rFonts w:ascii="Times New Roman" w:eastAsia="Arial Narrow" w:hAnsi="Times New Roman" w:cs="Arial Narrow"/>
      <w:b w:val="0"/>
      <w:sz w:val="20"/>
      <w:szCs w:val="22"/>
    </w:rPr>
  </w:style>
  <w:style w:type="character" w:customStyle="1" w:styleId="ListLabel51">
    <w:name w:val="ListLabel 51"/>
    <w:qFormat/>
    <w:rPr>
      <w:rFonts w:ascii="Times New Roman" w:hAnsi="Times New Roman"/>
      <w:b w:val="0"/>
      <w:sz w:val="20"/>
      <w:u w:val="none"/>
    </w:rPr>
  </w:style>
  <w:style w:type="character" w:customStyle="1" w:styleId="ListLabel52">
    <w:name w:val="ListLabel 52"/>
    <w:qFormat/>
    <w:rPr>
      <w:b/>
      <w:color w:val="000000"/>
    </w:rPr>
  </w:style>
  <w:style w:type="character" w:customStyle="1" w:styleId="ListLabel53">
    <w:name w:val="ListLabel 53"/>
    <w:qFormat/>
    <w:rPr>
      <w:rFonts w:ascii="Times New Roman" w:eastAsia="Arial Narrow" w:hAnsi="Times New Roman" w:cs="Arial Narrow"/>
      <w:b w:val="0"/>
      <w:color w:val="000000"/>
      <w:sz w:val="20"/>
    </w:rPr>
  </w:style>
  <w:style w:type="character" w:customStyle="1" w:styleId="ListLabel54">
    <w:name w:val="ListLabel 54"/>
    <w:qFormat/>
    <w:rPr>
      <w:rFonts w:ascii="Times New Roman" w:hAnsi="Times New Roman"/>
      <w:b w:val="0"/>
      <w:sz w:val="20"/>
      <w:szCs w:val="22"/>
    </w:rPr>
  </w:style>
  <w:style w:type="character" w:customStyle="1" w:styleId="ListLabel55">
    <w:name w:val="ListLabel 55"/>
    <w:qFormat/>
    <w:rPr>
      <w:rFonts w:ascii="Times New Roman" w:hAnsi="Times New Roman"/>
      <w:b w:val="0"/>
      <w:color w:val="000000"/>
      <w:sz w:val="20"/>
    </w:rPr>
  </w:style>
  <w:style w:type="character" w:customStyle="1" w:styleId="ListLabel56">
    <w:name w:val="ListLabel 56"/>
    <w:qFormat/>
    <w:rPr>
      <w:rFonts w:cs="Noto Sans Symbols"/>
      <w:u w:val="none"/>
    </w:rPr>
  </w:style>
  <w:style w:type="character" w:customStyle="1" w:styleId="ListLabel57">
    <w:name w:val="ListLabel 57"/>
    <w:qFormat/>
    <w:rPr>
      <w:rFonts w:ascii="Times New Roman" w:hAnsi="Times New Roman"/>
      <w:b/>
      <w:sz w:val="20"/>
      <w:szCs w:val="22"/>
      <w:u w:val="none"/>
    </w:rPr>
  </w:style>
  <w:style w:type="character" w:customStyle="1" w:styleId="ListLabel58">
    <w:name w:val="ListLabel 58"/>
    <w:qFormat/>
    <w:rPr>
      <w:rFonts w:ascii="Times New Roman" w:eastAsia="Arial Narrow" w:hAnsi="Times New Roman" w:cs="Arial Narrow"/>
      <w:b w:val="0"/>
      <w:sz w:val="20"/>
      <w:u w:val="none"/>
    </w:rPr>
  </w:style>
  <w:style w:type="character" w:customStyle="1" w:styleId="ListLabel59">
    <w:name w:val="ListLabel 59"/>
    <w:qFormat/>
    <w:rPr>
      <w:rFonts w:ascii="Times New Roman" w:hAnsi="Times New Roman" w:cs="Arial Narrow"/>
      <w:b w:val="0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Noto Sans Symbols"/>
    </w:rPr>
  </w:style>
  <w:style w:type="character" w:customStyle="1" w:styleId="ListLabel62">
    <w:name w:val="ListLabel 62"/>
    <w:qFormat/>
    <w:rPr>
      <w:rFonts w:ascii="Times New Roman" w:eastAsia="Arial Narrow" w:hAnsi="Times New Roman" w:cs="Arial Narrow"/>
      <w:b w:val="0"/>
      <w:sz w:val="20"/>
      <w:szCs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Tytu">
    <w:name w:val="Title"/>
    <w:basedOn w:val="Normalny"/>
    <w:next w:val="Normalny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LO-normal"/>
    <w:next w:val="Normalny"/>
    <w:uiPriority w:val="1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7CD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02F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Gwka">
    <w:name w:val="Główka"/>
    <w:basedOn w:val="Normalny"/>
    <w:uiPriority w:val="99"/>
    <w:unhideWhenUsed/>
    <w:rsid w:val="00670822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70822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A5682"/>
    <w:pPr>
      <w:spacing w:line="240" w:lineRule="auto"/>
    </w:pPr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7C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002F23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0822"/>
  </w:style>
  <w:style w:type="character" w:customStyle="1" w:styleId="StopkaZnak">
    <w:name w:val="Stopka Znak"/>
    <w:basedOn w:val="Domylnaczcionkaakapitu"/>
    <w:link w:val="Stopka"/>
    <w:uiPriority w:val="99"/>
    <w:qFormat/>
    <w:rsid w:val="006708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A5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A5682"/>
    <w:rPr>
      <w:vertAlign w:val="superscript"/>
    </w:rPr>
  </w:style>
  <w:style w:type="character" w:customStyle="1" w:styleId="ListLabel1">
    <w:name w:val="ListLabel 1"/>
    <w:qFormat/>
    <w:rPr>
      <w:rFonts w:ascii="Arial Narrow" w:hAnsi="Arial Narrow"/>
      <w:b w:val="0"/>
      <w:sz w:val="22"/>
      <w:u w:val="none"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ascii="Arial Narrow" w:hAnsi="Arial Narrow"/>
      <w:b w:val="0"/>
      <w:color w:val="000000"/>
      <w:sz w:val="22"/>
      <w:szCs w:val="22"/>
    </w:rPr>
  </w:style>
  <w:style w:type="character" w:customStyle="1" w:styleId="ListLabel4">
    <w:name w:val="ListLabel 4"/>
    <w:qFormat/>
    <w:rPr>
      <w:rFonts w:ascii="Arial Narrow" w:eastAsia="Arial Narrow" w:hAnsi="Arial Narrow" w:cs="Arial Narrow"/>
      <w:b w:val="0"/>
      <w:color w:val="000000"/>
      <w:sz w:val="22"/>
    </w:rPr>
  </w:style>
  <w:style w:type="character" w:customStyle="1" w:styleId="ListLabel5">
    <w:name w:val="ListLabel 5"/>
    <w:qFormat/>
    <w:rPr>
      <w:rFonts w:ascii="Arial Narrow" w:hAnsi="Arial Narrow"/>
      <w:b w:val="0"/>
      <w:sz w:val="22"/>
      <w:szCs w:val="22"/>
    </w:rPr>
  </w:style>
  <w:style w:type="character" w:customStyle="1" w:styleId="ListLabel6">
    <w:name w:val="ListLabel 6"/>
    <w:qFormat/>
    <w:rPr>
      <w:rFonts w:ascii="Arial Narrow" w:hAnsi="Arial Narrow"/>
      <w:b w:val="0"/>
      <w:color w:val="000000"/>
      <w:sz w:val="22"/>
    </w:rPr>
  </w:style>
  <w:style w:type="character" w:customStyle="1" w:styleId="ListLabel7">
    <w:name w:val="ListLabel 7"/>
    <w:qFormat/>
    <w:rPr>
      <w:rFonts w:eastAsia="Noto Sans Symbols" w:cs="Noto Sans Symbols"/>
      <w:u w:val="none"/>
    </w:rPr>
  </w:style>
  <w:style w:type="character" w:customStyle="1" w:styleId="ListLabel8">
    <w:name w:val="ListLabel 8"/>
    <w:qFormat/>
    <w:rPr>
      <w:rFonts w:ascii="Arial Narrow" w:hAnsi="Arial Narrow"/>
      <w:b/>
      <w:sz w:val="22"/>
      <w:szCs w:val="22"/>
      <w:u w:val="none"/>
    </w:rPr>
  </w:style>
  <w:style w:type="character" w:customStyle="1" w:styleId="ListLabel9">
    <w:name w:val="ListLabel 9"/>
    <w:qFormat/>
    <w:rPr>
      <w:rFonts w:ascii="Arial Narrow" w:eastAsia="Arial Narrow" w:hAnsi="Arial Narrow" w:cs="Arial Narrow"/>
      <w:b w:val="0"/>
      <w:sz w:val="22"/>
      <w:u w:val="none"/>
    </w:rPr>
  </w:style>
  <w:style w:type="character" w:customStyle="1" w:styleId="ListLabel10">
    <w:name w:val="ListLabel 10"/>
    <w:qFormat/>
    <w:rPr>
      <w:rFonts w:ascii="Arial Narrow" w:eastAsia="Arial Narrow" w:hAnsi="Arial Narrow" w:cs="Arial Narrow"/>
      <w:b w:val="0"/>
      <w:sz w:val="2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ascii="Arial Narrow" w:eastAsia="Arial Narrow" w:hAnsi="Arial Narrow" w:cs="Arial Narrow"/>
      <w:b w:val="0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sz w:val="22"/>
      <w:u w:val="none"/>
    </w:rPr>
  </w:style>
  <w:style w:type="character" w:customStyle="1" w:styleId="ListLabel15">
    <w:name w:val="ListLabel 15"/>
    <w:qFormat/>
    <w:rPr>
      <w:b/>
      <w:color w:val="000000"/>
    </w:rPr>
  </w:style>
  <w:style w:type="character" w:customStyle="1" w:styleId="ListLabel16">
    <w:name w:val="ListLabel 16"/>
    <w:qFormat/>
    <w:rPr>
      <w:rFonts w:ascii="Arial Narrow" w:hAnsi="Arial Narrow"/>
      <w:b w:val="0"/>
      <w:color w:val="000000"/>
      <w:sz w:val="22"/>
      <w:szCs w:val="22"/>
    </w:rPr>
  </w:style>
  <w:style w:type="character" w:customStyle="1" w:styleId="ListLabel17">
    <w:name w:val="ListLabel 17"/>
    <w:qFormat/>
    <w:rPr>
      <w:rFonts w:ascii="Arial Narrow" w:eastAsia="Arial Narrow" w:hAnsi="Arial Narrow" w:cs="Arial Narrow"/>
      <w:b w:val="0"/>
      <w:color w:val="000000"/>
      <w:sz w:val="22"/>
    </w:rPr>
  </w:style>
  <w:style w:type="character" w:customStyle="1" w:styleId="ListLabel18">
    <w:name w:val="ListLabel 18"/>
    <w:qFormat/>
    <w:rPr>
      <w:rFonts w:ascii="Arial Narrow" w:hAnsi="Arial Narrow"/>
      <w:b w:val="0"/>
      <w:sz w:val="22"/>
      <w:szCs w:val="22"/>
    </w:rPr>
  </w:style>
  <w:style w:type="character" w:customStyle="1" w:styleId="ListLabel19">
    <w:name w:val="ListLabel 19"/>
    <w:qFormat/>
    <w:rPr>
      <w:rFonts w:ascii="Arial Narrow" w:hAnsi="Arial Narrow"/>
      <w:b w:val="0"/>
      <w:color w:val="000000"/>
      <w:sz w:val="22"/>
    </w:rPr>
  </w:style>
  <w:style w:type="character" w:customStyle="1" w:styleId="ListLabel20">
    <w:name w:val="ListLabel 20"/>
    <w:qFormat/>
    <w:rPr>
      <w:rFonts w:cs="Noto Sans Symbols"/>
      <w:u w:val="none"/>
    </w:rPr>
  </w:style>
  <w:style w:type="character" w:customStyle="1" w:styleId="ListLabel21">
    <w:name w:val="ListLabel 21"/>
    <w:qFormat/>
    <w:rPr>
      <w:rFonts w:ascii="Arial Narrow" w:hAnsi="Arial Narrow"/>
      <w:b/>
      <w:sz w:val="22"/>
      <w:szCs w:val="22"/>
      <w:u w:val="none"/>
    </w:rPr>
  </w:style>
  <w:style w:type="character" w:customStyle="1" w:styleId="ListLabel22">
    <w:name w:val="ListLabel 22"/>
    <w:qFormat/>
    <w:rPr>
      <w:rFonts w:ascii="Arial Narrow" w:eastAsia="Arial Narrow" w:hAnsi="Arial Narrow" w:cs="Arial Narrow"/>
      <w:b w:val="0"/>
      <w:sz w:val="22"/>
      <w:u w:val="none"/>
    </w:rPr>
  </w:style>
  <w:style w:type="character" w:customStyle="1" w:styleId="ListLabel23">
    <w:name w:val="ListLabel 23"/>
    <w:qFormat/>
    <w:rPr>
      <w:rFonts w:ascii="Arial Narrow" w:hAnsi="Arial Narrow" w:cs="Arial Narrow"/>
      <w:b w:val="0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Noto Sans Symbols"/>
    </w:rPr>
  </w:style>
  <w:style w:type="character" w:customStyle="1" w:styleId="ListLabel26">
    <w:name w:val="ListLabel 26"/>
    <w:qFormat/>
    <w:rPr>
      <w:rFonts w:ascii="Arial Narrow" w:eastAsia="Arial Narrow" w:hAnsi="Arial Narrow" w:cs="Arial Narrow"/>
      <w:b w:val="0"/>
      <w:sz w:val="22"/>
      <w:szCs w:val="22"/>
    </w:rPr>
  </w:style>
  <w:style w:type="character" w:customStyle="1" w:styleId="ListLabel27">
    <w:name w:val="ListLabel 27"/>
    <w:qFormat/>
    <w:rPr>
      <w:rFonts w:ascii="Times New Roman" w:hAnsi="Times New Roman"/>
      <w:b w:val="0"/>
      <w:sz w:val="20"/>
      <w:u w:val="none"/>
    </w:rPr>
  </w:style>
  <w:style w:type="character" w:customStyle="1" w:styleId="ListLabel28">
    <w:name w:val="ListLabel 28"/>
    <w:qFormat/>
    <w:rPr>
      <w:b/>
      <w:color w:val="000000"/>
    </w:rPr>
  </w:style>
  <w:style w:type="character" w:customStyle="1" w:styleId="ListLabel29">
    <w:name w:val="ListLabel 29"/>
    <w:qFormat/>
    <w:rPr>
      <w:rFonts w:ascii="Times New Roman" w:eastAsia="Arial Narrow" w:hAnsi="Times New Roman" w:cs="Arial Narrow"/>
      <w:b w:val="0"/>
      <w:color w:val="000000"/>
      <w:sz w:val="20"/>
    </w:rPr>
  </w:style>
  <w:style w:type="character" w:customStyle="1" w:styleId="ListLabel30">
    <w:name w:val="ListLabel 30"/>
    <w:qFormat/>
    <w:rPr>
      <w:rFonts w:ascii="Times New Roman" w:hAnsi="Times New Roman"/>
      <w:b w:val="0"/>
      <w:sz w:val="20"/>
      <w:szCs w:val="22"/>
    </w:rPr>
  </w:style>
  <w:style w:type="character" w:customStyle="1" w:styleId="ListLabel31">
    <w:name w:val="ListLabel 31"/>
    <w:qFormat/>
    <w:rPr>
      <w:rFonts w:ascii="Times New Roman" w:hAnsi="Times New Roman"/>
      <w:b w:val="0"/>
      <w:color w:val="000000"/>
      <w:sz w:val="20"/>
    </w:rPr>
  </w:style>
  <w:style w:type="character" w:customStyle="1" w:styleId="ListLabel32">
    <w:name w:val="ListLabel 32"/>
    <w:qFormat/>
    <w:rPr>
      <w:rFonts w:cs="Noto Sans Symbols"/>
      <w:u w:val="none"/>
    </w:rPr>
  </w:style>
  <w:style w:type="character" w:customStyle="1" w:styleId="ListLabel33">
    <w:name w:val="ListLabel 33"/>
    <w:qFormat/>
    <w:rPr>
      <w:rFonts w:ascii="Times New Roman" w:hAnsi="Times New Roman"/>
      <w:b/>
      <w:sz w:val="20"/>
      <w:szCs w:val="22"/>
      <w:u w:val="none"/>
    </w:rPr>
  </w:style>
  <w:style w:type="character" w:customStyle="1" w:styleId="ListLabel34">
    <w:name w:val="ListLabel 34"/>
    <w:qFormat/>
    <w:rPr>
      <w:rFonts w:ascii="Times New Roman" w:eastAsia="Arial Narrow" w:hAnsi="Times New Roman" w:cs="Arial Narrow"/>
      <w:b w:val="0"/>
      <w:sz w:val="20"/>
      <w:u w:val="none"/>
    </w:rPr>
  </w:style>
  <w:style w:type="character" w:customStyle="1" w:styleId="ListLabel35">
    <w:name w:val="ListLabel 35"/>
    <w:qFormat/>
    <w:rPr>
      <w:rFonts w:ascii="Times New Roman" w:hAnsi="Times New Roman" w:cs="Arial Narrow"/>
      <w:b w:val="0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Noto Sans Symbols"/>
    </w:rPr>
  </w:style>
  <w:style w:type="character" w:customStyle="1" w:styleId="ListLabel38">
    <w:name w:val="ListLabel 38"/>
    <w:qFormat/>
    <w:rPr>
      <w:rFonts w:ascii="Times New Roman" w:eastAsia="Arial Narrow" w:hAnsi="Times New Roman" w:cs="Arial Narrow"/>
      <w:b w:val="0"/>
      <w:sz w:val="20"/>
      <w:szCs w:val="22"/>
    </w:rPr>
  </w:style>
  <w:style w:type="character" w:customStyle="1" w:styleId="ListLabel39">
    <w:name w:val="ListLabel 39"/>
    <w:qFormat/>
    <w:rPr>
      <w:rFonts w:ascii="Times New Roman" w:hAnsi="Times New Roman"/>
      <w:b w:val="0"/>
      <w:sz w:val="20"/>
      <w:u w:val="none"/>
    </w:rPr>
  </w:style>
  <w:style w:type="character" w:customStyle="1" w:styleId="ListLabel40">
    <w:name w:val="ListLabel 40"/>
    <w:qFormat/>
    <w:rPr>
      <w:b/>
      <w:color w:val="000000"/>
    </w:rPr>
  </w:style>
  <w:style w:type="character" w:customStyle="1" w:styleId="ListLabel41">
    <w:name w:val="ListLabel 41"/>
    <w:qFormat/>
    <w:rPr>
      <w:rFonts w:ascii="Times New Roman" w:eastAsia="Arial Narrow" w:hAnsi="Times New Roman" w:cs="Arial Narrow"/>
      <w:b w:val="0"/>
      <w:color w:val="000000"/>
      <w:sz w:val="20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0"/>
      <w:szCs w:val="22"/>
    </w:rPr>
  </w:style>
  <w:style w:type="character" w:customStyle="1" w:styleId="ListLabel43">
    <w:name w:val="ListLabel 43"/>
    <w:qFormat/>
    <w:rPr>
      <w:rFonts w:ascii="Times New Roman" w:hAnsi="Times New Roman"/>
      <w:b w:val="0"/>
      <w:color w:val="000000"/>
      <w:sz w:val="20"/>
    </w:rPr>
  </w:style>
  <w:style w:type="character" w:customStyle="1" w:styleId="ListLabel44">
    <w:name w:val="ListLabel 44"/>
    <w:qFormat/>
    <w:rPr>
      <w:rFonts w:cs="Noto Sans Symbols"/>
      <w:u w:val="none"/>
    </w:rPr>
  </w:style>
  <w:style w:type="character" w:customStyle="1" w:styleId="ListLabel45">
    <w:name w:val="ListLabel 45"/>
    <w:qFormat/>
    <w:rPr>
      <w:rFonts w:ascii="Times New Roman" w:hAnsi="Times New Roman"/>
      <w:b/>
      <w:sz w:val="20"/>
      <w:szCs w:val="22"/>
      <w:u w:val="none"/>
    </w:rPr>
  </w:style>
  <w:style w:type="character" w:customStyle="1" w:styleId="ListLabel46">
    <w:name w:val="ListLabel 46"/>
    <w:qFormat/>
    <w:rPr>
      <w:rFonts w:ascii="Times New Roman" w:eastAsia="Arial Narrow" w:hAnsi="Times New Roman" w:cs="Arial Narrow"/>
      <w:b w:val="0"/>
      <w:sz w:val="20"/>
      <w:u w:val="none"/>
    </w:rPr>
  </w:style>
  <w:style w:type="character" w:customStyle="1" w:styleId="ListLabel47">
    <w:name w:val="ListLabel 47"/>
    <w:qFormat/>
    <w:rPr>
      <w:rFonts w:ascii="Times New Roman" w:hAnsi="Times New Roman" w:cs="Arial Narrow"/>
      <w:b w:val="0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Noto Sans Symbols"/>
    </w:rPr>
  </w:style>
  <w:style w:type="character" w:customStyle="1" w:styleId="ListLabel50">
    <w:name w:val="ListLabel 50"/>
    <w:qFormat/>
    <w:rPr>
      <w:rFonts w:ascii="Times New Roman" w:eastAsia="Arial Narrow" w:hAnsi="Times New Roman" w:cs="Arial Narrow"/>
      <w:b w:val="0"/>
      <w:sz w:val="20"/>
      <w:szCs w:val="22"/>
    </w:rPr>
  </w:style>
  <w:style w:type="character" w:customStyle="1" w:styleId="ListLabel51">
    <w:name w:val="ListLabel 51"/>
    <w:qFormat/>
    <w:rPr>
      <w:rFonts w:ascii="Times New Roman" w:hAnsi="Times New Roman"/>
      <w:b w:val="0"/>
      <w:sz w:val="20"/>
      <w:u w:val="none"/>
    </w:rPr>
  </w:style>
  <w:style w:type="character" w:customStyle="1" w:styleId="ListLabel52">
    <w:name w:val="ListLabel 52"/>
    <w:qFormat/>
    <w:rPr>
      <w:b/>
      <w:color w:val="000000"/>
    </w:rPr>
  </w:style>
  <w:style w:type="character" w:customStyle="1" w:styleId="ListLabel53">
    <w:name w:val="ListLabel 53"/>
    <w:qFormat/>
    <w:rPr>
      <w:rFonts w:ascii="Times New Roman" w:eastAsia="Arial Narrow" w:hAnsi="Times New Roman" w:cs="Arial Narrow"/>
      <w:b w:val="0"/>
      <w:color w:val="000000"/>
      <w:sz w:val="20"/>
    </w:rPr>
  </w:style>
  <w:style w:type="character" w:customStyle="1" w:styleId="ListLabel54">
    <w:name w:val="ListLabel 54"/>
    <w:qFormat/>
    <w:rPr>
      <w:rFonts w:ascii="Times New Roman" w:hAnsi="Times New Roman"/>
      <w:b w:val="0"/>
      <w:sz w:val="20"/>
      <w:szCs w:val="22"/>
    </w:rPr>
  </w:style>
  <w:style w:type="character" w:customStyle="1" w:styleId="ListLabel55">
    <w:name w:val="ListLabel 55"/>
    <w:qFormat/>
    <w:rPr>
      <w:rFonts w:ascii="Times New Roman" w:hAnsi="Times New Roman"/>
      <w:b w:val="0"/>
      <w:color w:val="000000"/>
      <w:sz w:val="20"/>
    </w:rPr>
  </w:style>
  <w:style w:type="character" w:customStyle="1" w:styleId="ListLabel56">
    <w:name w:val="ListLabel 56"/>
    <w:qFormat/>
    <w:rPr>
      <w:rFonts w:cs="Noto Sans Symbols"/>
      <w:u w:val="none"/>
    </w:rPr>
  </w:style>
  <w:style w:type="character" w:customStyle="1" w:styleId="ListLabel57">
    <w:name w:val="ListLabel 57"/>
    <w:qFormat/>
    <w:rPr>
      <w:rFonts w:ascii="Times New Roman" w:hAnsi="Times New Roman"/>
      <w:b/>
      <w:sz w:val="20"/>
      <w:szCs w:val="22"/>
      <w:u w:val="none"/>
    </w:rPr>
  </w:style>
  <w:style w:type="character" w:customStyle="1" w:styleId="ListLabel58">
    <w:name w:val="ListLabel 58"/>
    <w:qFormat/>
    <w:rPr>
      <w:rFonts w:ascii="Times New Roman" w:eastAsia="Arial Narrow" w:hAnsi="Times New Roman" w:cs="Arial Narrow"/>
      <w:b w:val="0"/>
      <w:sz w:val="20"/>
      <w:u w:val="none"/>
    </w:rPr>
  </w:style>
  <w:style w:type="character" w:customStyle="1" w:styleId="ListLabel59">
    <w:name w:val="ListLabel 59"/>
    <w:qFormat/>
    <w:rPr>
      <w:rFonts w:ascii="Times New Roman" w:hAnsi="Times New Roman" w:cs="Arial Narrow"/>
      <w:b w:val="0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Noto Sans Symbols"/>
    </w:rPr>
  </w:style>
  <w:style w:type="character" w:customStyle="1" w:styleId="ListLabel62">
    <w:name w:val="ListLabel 62"/>
    <w:qFormat/>
    <w:rPr>
      <w:rFonts w:ascii="Times New Roman" w:eastAsia="Arial Narrow" w:hAnsi="Times New Roman" w:cs="Arial Narrow"/>
      <w:b w:val="0"/>
      <w:sz w:val="20"/>
      <w:szCs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Tytu">
    <w:name w:val="Title"/>
    <w:basedOn w:val="Normalny"/>
    <w:next w:val="Normalny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LO-normal"/>
    <w:next w:val="Normalny"/>
    <w:uiPriority w:val="1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7CD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02F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Gwka">
    <w:name w:val="Główka"/>
    <w:basedOn w:val="Normalny"/>
    <w:uiPriority w:val="99"/>
    <w:unhideWhenUsed/>
    <w:rsid w:val="00670822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70822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A5682"/>
    <w:pPr>
      <w:spacing w:line="240" w:lineRule="auto"/>
    </w:pPr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VrpWXmTIZ1QPhf2sx9JMNpNHaQ==">AMUW2mVxQr+gg5d9U6q7uCGe/Axzb36GwG8QKcBf9ERy88WdB52/qeMVUvPJFdvr5xWJBNUIvfpE0LcHJkP6LH0UCvF5XVL6ivMvTk4kQH599nSqESIMlmfx3e1jtNUlEFxbejwFEivbpJKgowmA1r9CYvZy+239GGnZ4nqp3PRLb+u5KR97+tKLne492YxSYGte9Ea1Iv/4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3307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Dudek</dc:creator>
  <cp:lastModifiedBy>Ewa Dudek</cp:lastModifiedBy>
  <cp:revision>6</cp:revision>
  <cp:lastPrinted>2024-10-11T14:33:00Z</cp:lastPrinted>
  <dcterms:created xsi:type="dcterms:W3CDTF">2024-10-11T08:18:00Z</dcterms:created>
  <dcterms:modified xsi:type="dcterms:W3CDTF">2024-10-11T14:39:00Z</dcterms:modified>
  <dc:language>pl-PL</dc:language>
</cp:coreProperties>
</file>