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67A4E" w14:textId="0D5F02B3" w:rsidR="003B1904" w:rsidRPr="00F651B4" w:rsidRDefault="003B1904" w:rsidP="003B1904">
      <w:pPr>
        <w:spacing w:after="120" w:line="240" w:lineRule="auto"/>
        <w:ind w:left="284" w:hanging="284"/>
        <w:jc w:val="right"/>
        <w:rPr>
          <w:rFonts w:ascii="Arial" w:hAnsi="Arial" w:cs="Arial"/>
          <w:sz w:val="20"/>
          <w:szCs w:val="20"/>
        </w:rPr>
      </w:pPr>
      <w:r w:rsidRPr="00F651B4">
        <w:rPr>
          <w:rFonts w:ascii="Arial" w:hAnsi="Arial" w:cs="Arial"/>
          <w:sz w:val="20"/>
          <w:szCs w:val="20"/>
        </w:rPr>
        <w:t>Załącznik nr 6 do SWZ</w:t>
      </w:r>
    </w:p>
    <w:p w14:paraId="014140A4" w14:textId="5C7546EB" w:rsidR="00B670D7" w:rsidRDefault="00B670D7" w:rsidP="003B1904">
      <w:pPr>
        <w:spacing w:after="120" w:line="240" w:lineRule="auto"/>
        <w:ind w:left="284" w:hanging="284"/>
        <w:jc w:val="right"/>
        <w:rPr>
          <w:rFonts w:ascii="Arial" w:hAnsi="Arial" w:cs="Arial"/>
          <w:sz w:val="20"/>
          <w:szCs w:val="20"/>
        </w:rPr>
      </w:pPr>
      <w:r w:rsidRPr="00F651B4">
        <w:rPr>
          <w:rFonts w:ascii="Arial" w:hAnsi="Arial" w:cs="Arial"/>
          <w:sz w:val="20"/>
          <w:szCs w:val="20"/>
        </w:rPr>
        <w:t>ZP/G/</w:t>
      </w:r>
      <w:r w:rsidR="008E528F">
        <w:rPr>
          <w:rFonts w:ascii="Arial" w:hAnsi="Arial" w:cs="Arial"/>
          <w:sz w:val="20"/>
          <w:szCs w:val="20"/>
        </w:rPr>
        <w:t>27/24</w:t>
      </w:r>
    </w:p>
    <w:p w14:paraId="74DCEA47" w14:textId="77777777" w:rsidR="00F651B4" w:rsidRDefault="00F651B4" w:rsidP="003B1904">
      <w:pPr>
        <w:spacing w:after="120" w:line="240" w:lineRule="auto"/>
        <w:ind w:left="284" w:hanging="284"/>
        <w:jc w:val="right"/>
        <w:rPr>
          <w:rFonts w:ascii="Arial" w:hAnsi="Arial" w:cs="Arial"/>
          <w:sz w:val="20"/>
          <w:szCs w:val="20"/>
        </w:rPr>
      </w:pPr>
    </w:p>
    <w:p w14:paraId="640EA685" w14:textId="77777777" w:rsidR="00F651B4" w:rsidRPr="00F651B4" w:rsidRDefault="00F651B4" w:rsidP="003B1904">
      <w:pPr>
        <w:spacing w:after="120" w:line="240" w:lineRule="auto"/>
        <w:ind w:left="284" w:hanging="284"/>
        <w:jc w:val="right"/>
        <w:rPr>
          <w:rFonts w:ascii="Arial" w:hAnsi="Arial" w:cs="Arial"/>
          <w:sz w:val="20"/>
          <w:szCs w:val="20"/>
        </w:rPr>
      </w:pPr>
    </w:p>
    <w:p w14:paraId="325940F2" w14:textId="77777777" w:rsidR="00472E4A" w:rsidRPr="00F651B4" w:rsidRDefault="00472E4A" w:rsidP="00F651B4">
      <w:pPr>
        <w:pStyle w:val="Akapitzlist"/>
        <w:numPr>
          <w:ilvl w:val="0"/>
          <w:numId w:val="1"/>
        </w:numPr>
        <w:spacing w:after="120" w:line="240" w:lineRule="auto"/>
        <w:ind w:left="426" w:hanging="284"/>
        <w:contextualSpacing w:val="0"/>
        <w:rPr>
          <w:rFonts w:ascii="Arial" w:hAnsi="Arial" w:cs="Arial"/>
          <w:snapToGrid w:val="0"/>
          <w:sz w:val="20"/>
          <w:szCs w:val="20"/>
        </w:rPr>
      </w:pPr>
      <w:r w:rsidRPr="00F651B4">
        <w:rPr>
          <w:rFonts w:ascii="Arial" w:hAnsi="Arial" w:cs="Arial"/>
          <w:b/>
          <w:snapToGrid w:val="0"/>
          <w:sz w:val="20"/>
          <w:szCs w:val="20"/>
        </w:rPr>
        <w:t>OPIS PRZEDMIOTU ZAMÓWIENIA</w:t>
      </w:r>
    </w:p>
    <w:p w14:paraId="251D64F3" w14:textId="77777777" w:rsidR="00472E4A" w:rsidRPr="00F651B4" w:rsidRDefault="00472E4A" w:rsidP="00F651B4">
      <w:pPr>
        <w:pStyle w:val="Akapitzlist"/>
        <w:widowControl w:val="0"/>
        <w:numPr>
          <w:ilvl w:val="0"/>
          <w:numId w:val="2"/>
        </w:numPr>
        <w:autoSpaceDE w:val="0"/>
        <w:autoSpaceDN w:val="0"/>
        <w:spacing w:after="120" w:line="240" w:lineRule="auto"/>
        <w:ind w:left="378" w:hanging="378"/>
        <w:contextualSpacing w:val="0"/>
        <w:rPr>
          <w:rFonts w:ascii="Arial" w:hAnsi="Arial" w:cs="Arial"/>
          <w:b/>
          <w:sz w:val="20"/>
          <w:szCs w:val="20"/>
        </w:rPr>
      </w:pPr>
      <w:r w:rsidRPr="00F651B4">
        <w:rPr>
          <w:rFonts w:ascii="Arial" w:hAnsi="Arial" w:cs="Arial"/>
          <w:b/>
          <w:sz w:val="20"/>
          <w:szCs w:val="20"/>
          <w:u w:val="single"/>
        </w:rPr>
        <w:t>Określenie przedmiotu zamówienia</w:t>
      </w:r>
      <w:r w:rsidRPr="00F651B4">
        <w:rPr>
          <w:rFonts w:ascii="Arial" w:hAnsi="Arial" w:cs="Arial"/>
          <w:b/>
          <w:sz w:val="20"/>
          <w:szCs w:val="20"/>
        </w:rPr>
        <w:t xml:space="preserve">: </w:t>
      </w:r>
    </w:p>
    <w:p w14:paraId="73B67A5E" w14:textId="176B9289" w:rsidR="00472E4A" w:rsidRPr="00F651B4" w:rsidRDefault="00472E4A" w:rsidP="00F651B4">
      <w:pPr>
        <w:pStyle w:val="Akapitzlist"/>
        <w:spacing w:after="120" w:line="240" w:lineRule="auto"/>
        <w:ind w:left="0"/>
        <w:contextualSpacing w:val="0"/>
        <w:jc w:val="both"/>
        <w:rPr>
          <w:rFonts w:ascii="Arial" w:hAnsi="Arial" w:cs="Arial"/>
          <w:bCs/>
          <w:sz w:val="20"/>
          <w:szCs w:val="20"/>
        </w:rPr>
      </w:pPr>
      <w:bookmarkStart w:id="0" w:name="_Hlk8206830"/>
      <w:r w:rsidRPr="00F651B4">
        <w:rPr>
          <w:rFonts w:ascii="Arial" w:hAnsi="Arial" w:cs="Arial"/>
          <w:bCs/>
          <w:sz w:val="20"/>
          <w:szCs w:val="20"/>
        </w:rPr>
        <w:t xml:space="preserve">Dostawa odczynników chemicznych </w:t>
      </w:r>
      <w:r w:rsidR="00FE7F86" w:rsidRPr="00F651B4">
        <w:rPr>
          <w:rFonts w:ascii="Arial" w:hAnsi="Arial" w:cs="Arial"/>
          <w:bCs/>
          <w:sz w:val="20"/>
          <w:szCs w:val="20"/>
        </w:rPr>
        <w:t xml:space="preserve">w okresie od </w:t>
      </w:r>
      <w:r w:rsidR="00A53D6B">
        <w:rPr>
          <w:rFonts w:ascii="Arial" w:hAnsi="Arial" w:cs="Arial"/>
          <w:bCs/>
          <w:sz w:val="20"/>
          <w:szCs w:val="20"/>
        </w:rPr>
        <w:t>02.09</w:t>
      </w:r>
      <w:r w:rsidR="00FE7F86" w:rsidRPr="00F651B4">
        <w:rPr>
          <w:rFonts w:ascii="Arial" w:hAnsi="Arial" w:cs="Arial"/>
          <w:bCs/>
          <w:sz w:val="20"/>
          <w:szCs w:val="20"/>
        </w:rPr>
        <w:t>.202</w:t>
      </w:r>
      <w:r w:rsidR="002877A0" w:rsidRPr="00F651B4">
        <w:rPr>
          <w:rFonts w:ascii="Arial" w:hAnsi="Arial" w:cs="Arial"/>
          <w:bCs/>
          <w:sz w:val="20"/>
          <w:szCs w:val="20"/>
        </w:rPr>
        <w:t>4</w:t>
      </w:r>
      <w:r w:rsidR="00FE7F86" w:rsidRPr="00F651B4">
        <w:rPr>
          <w:rFonts w:ascii="Arial" w:hAnsi="Arial" w:cs="Arial"/>
          <w:bCs/>
          <w:sz w:val="20"/>
          <w:szCs w:val="20"/>
        </w:rPr>
        <w:t xml:space="preserve"> – 3</w:t>
      </w:r>
      <w:r w:rsidR="001B5454">
        <w:rPr>
          <w:rFonts w:ascii="Arial" w:hAnsi="Arial" w:cs="Arial"/>
          <w:bCs/>
          <w:sz w:val="20"/>
          <w:szCs w:val="20"/>
        </w:rPr>
        <w:t>0</w:t>
      </w:r>
      <w:r w:rsidR="00FE7F86" w:rsidRPr="00F651B4">
        <w:rPr>
          <w:rFonts w:ascii="Arial" w:hAnsi="Arial" w:cs="Arial"/>
          <w:bCs/>
          <w:sz w:val="20"/>
          <w:szCs w:val="20"/>
        </w:rPr>
        <w:t>.0</w:t>
      </w:r>
      <w:r w:rsidR="001B5454">
        <w:rPr>
          <w:rFonts w:ascii="Arial" w:hAnsi="Arial" w:cs="Arial"/>
          <w:bCs/>
          <w:sz w:val="20"/>
          <w:szCs w:val="20"/>
        </w:rPr>
        <w:t>6</w:t>
      </w:r>
      <w:r w:rsidR="00FE7F86" w:rsidRPr="00F651B4">
        <w:rPr>
          <w:rFonts w:ascii="Arial" w:hAnsi="Arial" w:cs="Arial"/>
          <w:bCs/>
          <w:sz w:val="20"/>
          <w:szCs w:val="20"/>
        </w:rPr>
        <w:t>.202</w:t>
      </w:r>
      <w:r w:rsidR="002877A0" w:rsidRPr="00F651B4">
        <w:rPr>
          <w:rFonts w:ascii="Arial" w:hAnsi="Arial" w:cs="Arial"/>
          <w:bCs/>
          <w:sz w:val="20"/>
          <w:szCs w:val="20"/>
        </w:rPr>
        <w:t>5</w:t>
      </w:r>
      <w:r w:rsidR="00FE7F86" w:rsidRPr="00F651B4">
        <w:rPr>
          <w:rFonts w:ascii="Arial" w:hAnsi="Arial" w:cs="Arial"/>
          <w:bCs/>
          <w:sz w:val="20"/>
          <w:szCs w:val="20"/>
        </w:rPr>
        <w:t xml:space="preserve"> r </w:t>
      </w:r>
      <w:r w:rsidRPr="00F651B4">
        <w:rPr>
          <w:rFonts w:ascii="Arial" w:hAnsi="Arial" w:cs="Arial"/>
          <w:bCs/>
          <w:sz w:val="20"/>
          <w:szCs w:val="20"/>
        </w:rPr>
        <w:t>do Sieci Badawczej Łukasiewicz - Instytut Metali Nieżelaznych</w:t>
      </w:r>
      <w:bookmarkStart w:id="1" w:name="_Hlk8207030"/>
      <w:r w:rsidRPr="00F651B4">
        <w:rPr>
          <w:rFonts w:ascii="Arial" w:hAnsi="Arial" w:cs="Arial"/>
          <w:bCs/>
          <w:sz w:val="20"/>
          <w:szCs w:val="20"/>
        </w:rPr>
        <w:t xml:space="preserve"> w Gliwicach oraz do </w:t>
      </w:r>
      <w:r w:rsidR="00CC3225">
        <w:rPr>
          <w:rFonts w:ascii="Arial" w:hAnsi="Arial" w:cs="Arial"/>
          <w:bCs/>
          <w:sz w:val="20"/>
          <w:szCs w:val="20"/>
        </w:rPr>
        <w:t>o</w:t>
      </w:r>
      <w:r w:rsidR="00CC3225" w:rsidRPr="00F651B4">
        <w:rPr>
          <w:rFonts w:ascii="Arial" w:hAnsi="Arial" w:cs="Arial"/>
          <w:bCs/>
          <w:sz w:val="20"/>
          <w:szCs w:val="20"/>
        </w:rPr>
        <w:t xml:space="preserve">ddziałów </w:t>
      </w:r>
      <w:r w:rsidRPr="00F651B4">
        <w:rPr>
          <w:rFonts w:ascii="Arial" w:hAnsi="Arial" w:cs="Arial"/>
          <w:bCs/>
          <w:sz w:val="20"/>
          <w:szCs w:val="20"/>
        </w:rPr>
        <w:t>w Skawinie</w:t>
      </w:r>
      <w:r w:rsidR="00900E63" w:rsidRPr="00F651B4">
        <w:rPr>
          <w:rFonts w:ascii="Arial" w:hAnsi="Arial" w:cs="Arial"/>
          <w:bCs/>
          <w:sz w:val="20"/>
          <w:szCs w:val="20"/>
        </w:rPr>
        <w:t>, P</w:t>
      </w:r>
      <w:r w:rsidRPr="00F651B4">
        <w:rPr>
          <w:rFonts w:ascii="Arial" w:hAnsi="Arial" w:cs="Arial"/>
          <w:bCs/>
          <w:sz w:val="20"/>
          <w:szCs w:val="20"/>
        </w:rPr>
        <w:t>oznaniu</w:t>
      </w:r>
      <w:r w:rsidR="00900E63" w:rsidRPr="00F651B4">
        <w:rPr>
          <w:rFonts w:ascii="Arial" w:hAnsi="Arial" w:cs="Arial"/>
          <w:bCs/>
          <w:sz w:val="20"/>
          <w:szCs w:val="20"/>
        </w:rPr>
        <w:t xml:space="preserve"> i Legnicy</w:t>
      </w:r>
      <w:r w:rsidRPr="00F651B4">
        <w:rPr>
          <w:rFonts w:ascii="Arial" w:hAnsi="Arial" w:cs="Arial"/>
          <w:bCs/>
          <w:sz w:val="20"/>
          <w:szCs w:val="20"/>
        </w:rPr>
        <w:t>.</w:t>
      </w:r>
    </w:p>
    <w:bookmarkEnd w:id="0"/>
    <w:bookmarkEnd w:id="1"/>
    <w:p w14:paraId="3A815BEA" w14:textId="77777777" w:rsidR="00472E4A" w:rsidRPr="00F651B4" w:rsidRDefault="00472E4A" w:rsidP="00F651B4">
      <w:pPr>
        <w:pStyle w:val="Akapitzlist"/>
        <w:widowControl w:val="0"/>
        <w:numPr>
          <w:ilvl w:val="0"/>
          <w:numId w:val="2"/>
        </w:numPr>
        <w:autoSpaceDE w:val="0"/>
        <w:autoSpaceDN w:val="0"/>
        <w:spacing w:after="120" w:line="240" w:lineRule="auto"/>
        <w:ind w:left="378" w:hanging="378"/>
        <w:contextualSpacing w:val="0"/>
        <w:rPr>
          <w:rFonts w:ascii="Arial" w:hAnsi="Arial" w:cs="Arial"/>
          <w:b/>
          <w:sz w:val="20"/>
          <w:szCs w:val="20"/>
          <w:u w:val="single"/>
        </w:rPr>
      </w:pPr>
      <w:r w:rsidRPr="00F651B4">
        <w:rPr>
          <w:rFonts w:ascii="Arial" w:hAnsi="Arial" w:cs="Arial"/>
          <w:b/>
          <w:sz w:val="20"/>
          <w:szCs w:val="20"/>
          <w:u w:val="single"/>
        </w:rPr>
        <w:t>Opis przedmiotu zamówienia:</w:t>
      </w:r>
    </w:p>
    <w:p w14:paraId="0FAFEBEA" w14:textId="4C861409" w:rsidR="00472E4A" w:rsidRPr="00F651B4" w:rsidRDefault="00472E4A" w:rsidP="00F651B4">
      <w:pPr>
        <w:spacing w:after="120" w:line="240" w:lineRule="auto"/>
        <w:jc w:val="both"/>
        <w:rPr>
          <w:rFonts w:ascii="Arial" w:hAnsi="Arial" w:cs="Arial"/>
          <w:bCs/>
          <w:sz w:val="20"/>
          <w:szCs w:val="20"/>
        </w:rPr>
      </w:pPr>
      <w:r w:rsidRPr="00F651B4">
        <w:rPr>
          <w:rFonts w:ascii="Arial" w:hAnsi="Arial" w:cs="Arial"/>
          <w:bCs/>
          <w:sz w:val="20"/>
          <w:szCs w:val="20"/>
        </w:rPr>
        <w:t xml:space="preserve">Dostawa odczynników chemicznych </w:t>
      </w:r>
      <w:r w:rsidR="001B5454">
        <w:rPr>
          <w:rFonts w:ascii="Arial" w:hAnsi="Arial" w:cs="Arial"/>
          <w:b/>
          <w:bCs/>
          <w:sz w:val="20"/>
          <w:szCs w:val="20"/>
        </w:rPr>
        <w:t xml:space="preserve">od </w:t>
      </w:r>
      <w:r w:rsidR="00A53D6B">
        <w:rPr>
          <w:rFonts w:ascii="Arial" w:hAnsi="Arial" w:cs="Arial"/>
          <w:b/>
          <w:bCs/>
          <w:sz w:val="20"/>
          <w:szCs w:val="20"/>
        </w:rPr>
        <w:t>02.09</w:t>
      </w:r>
      <w:r w:rsidR="001B5454">
        <w:rPr>
          <w:rFonts w:ascii="Arial" w:hAnsi="Arial" w:cs="Arial"/>
          <w:b/>
          <w:bCs/>
          <w:sz w:val="20"/>
          <w:szCs w:val="20"/>
        </w:rPr>
        <w:t>.2024 – 30.06.2025 r.</w:t>
      </w:r>
      <w:r w:rsidRPr="00F651B4">
        <w:rPr>
          <w:rFonts w:ascii="Arial" w:hAnsi="Arial" w:cs="Arial"/>
          <w:bCs/>
          <w:sz w:val="20"/>
          <w:szCs w:val="20"/>
        </w:rPr>
        <w:t xml:space="preserve">. do Sieci Badawczej Łukasiewicz - Instytut Metali Nieżelaznych w Gliwicach </w:t>
      </w:r>
      <w:r w:rsidR="00476474" w:rsidRPr="00F651B4">
        <w:rPr>
          <w:rFonts w:ascii="Arial" w:hAnsi="Arial" w:cs="Arial"/>
          <w:bCs/>
          <w:sz w:val="20"/>
          <w:szCs w:val="20"/>
        </w:rPr>
        <w:t>oraz</w:t>
      </w:r>
      <w:r w:rsidRPr="00F651B4">
        <w:rPr>
          <w:rFonts w:ascii="Arial" w:hAnsi="Arial" w:cs="Arial"/>
          <w:bCs/>
          <w:sz w:val="20"/>
          <w:szCs w:val="20"/>
        </w:rPr>
        <w:t xml:space="preserve"> </w:t>
      </w:r>
      <w:r w:rsidR="00CC3225">
        <w:rPr>
          <w:rFonts w:ascii="Arial" w:hAnsi="Arial" w:cs="Arial"/>
          <w:bCs/>
          <w:sz w:val="20"/>
          <w:szCs w:val="20"/>
        </w:rPr>
        <w:t>o</w:t>
      </w:r>
      <w:r w:rsidR="00CC3225" w:rsidRPr="00F651B4">
        <w:rPr>
          <w:rFonts w:ascii="Arial" w:hAnsi="Arial" w:cs="Arial"/>
          <w:bCs/>
          <w:sz w:val="20"/>
          <w:szCs w:val="20"/>
        </w:rPr>
        <w:t xml:space="preserve">ddziałów </w:t>
      </w:r>
      <w:r w:rsidRPr="00F651B4">
        <w:rPr>
          <w:rFonts w:ascii="Arial" w:hAnsi="Arial" w:cs="Arial"/>
          <w:bCs/>
          <w:sz w:val="20"/>
          <w:szCs w:val="20"/>
        </w:rPr>
        <w:t>w Skawinie</w:t>
      </w:r>
      <w:r w:rsidR="00476474" w:rsidRPr="00F651B4">
        <w:rPr>
          <w:rFonts w:ascii="Arial" w:hAnsi="Arial" w:cs="Arial"/>
          <w:bCs/>
          <w:sz w:val="20"/>
          <w:szCs w:val="20"/>
        </w:rPr>
        <w:t xml:space="preserve">, </w:t>
      </w:r>
      <w:r w:rsidRPr="00F651B4">
        <w:rPr>
          <w:rFonts w:ascii="Arial" w:hAnsi="Arial" w:cs="Arial"/>
          <w:bCs/>
          <w:sz w:val="20"/>
          <w:szCs w:val="20"/>
        </w:rPr>
        <w:t>Poznaniu</w:t>
      </w:r>
      <w:r w:rsidR="00476474" w:rsidRPr="00F651B4">
        <w:rPr>
          <w:rFonts w:ascii="Arial" w:hAnsi="Arial" w:cs="Arial"/>
          <w:bCs/>
          <w:sz w:val="20"/>
          <w:szCs w:val="20"/>
        </w:rPr>
        <w:t xml:space="preserve"> i Legnicy</w:t>
      </w:r>
      <w:r w:rsidRPr="00F651B4">
        <w:rPr>
          <w:rFonts w:ascii="Arial" w:hAnsi="Arial" w:cs="Arial"/>
          <w:bCs/>
          <w:sz w:val="20"/>
          <w:szCs w:val="20"/>
        </w:rPr>
        <w:t xml:space="preserve"> (pakiet </w:t>
      </w:r>
      <w:r w:rsidR="00CC3225">
        <w:rPr>
          <w:rFonts w:ascii="Arial" w:hAnsi="Arial" w:cs="Arial"/>
          <w:bCs/>
          <w:sz w:val="20"/>
          <w:szCs w:val="20"/>
        </w:rPr>
        <w:t>II</w:t>
      </w:r>
      <w:r w:rsidRPr="00F651B4">
        <w:rPr>
          <w:rFonts w:ascii="Arial" w:hAnsi="Arial" w:cs="Arial"/>
          <w:bCs/>
          <w:sz w:val="20"/>
          <w:szCs w:val="20"/>
        </w:rPr>
        <w:t>).</w:t>
      </w:r>
    </w:p>
    <w:p w14:paraId="6AFA238E" w14:textId="77777777" w:rsidR="00472E4A" w:rsidRPr="00F651B4" w:rsidRDefault="00472E4A" w:rsidP="00F651B4">
      <w:pPr>
        <w:pStyle w:val="Bezodstpw"/>
        <w:spacing w:after="120"/>
        <w:jc w:val="both"/>
        <w:rPr>
          <w:rFonts w:ascii="Arial" w:hAnsi="Arial" w:cs="Arial"/>
          <w:sz w:val="20"/>
          <w:szCs w:val="20"/>
        </w:rPr>
      </w:pPr>
      <w:r w:rsidRPr="00F651B4">
        <w:rPr>
          <w:rFonts w:ascii="Arial" w:hAnsi="Arial" w:cs="Arial"/>
          <w:sz w:val="20"/>
          <w:szCs w:val="20"/>
        </w:rPr>
        <w:t xml:space="preserve">Wykaz odczynników </w:t>
      </w:r>
      <w:r w:rsidRPr="00F651B4">
        <w:rPr>
          <w:rFonts w:ascii="Arial" w:hAnsi="Arial" w:cs="Arial"/>
          <w:bCs/>
          <w:sz w:val="20"/>
          <w:szCs w:val="20"/>
        </w:rPr>
        <w:t xml:space="preserve">chemicznych i materiałów filtracyjnych </w:t>
      </w:r>
      <w:r w:rsidRPr="00F651B4">
        <w:rPr>
          <w:rFonts w:ascii="Arial" w:hAnsi="Arial" w:cs="Arial"/>
          <w:sz w:val="20"/>
          <w:szCs w:val="20"/>
        </w:rPr>
        <w:t>planowanych do zakupu określony jest w Załączniku 1 w formie czterech arkuszy kalkulacyjnych przedstawiających:</w:t>
      </w:r>
    </w:p>
    <w:p w14:paraId="54375F33" w14:textId="77777777" w:rsidR="00472E4A" w:rsidRPr="00F651B4" w:rsidRDefault="00472E4A" w:rsidP="00F651B4">
      <w:pPr>
        <w:numPr>
          <w:ilvl w:val="0"/>
          <w:numId w:val="4"/>
        </w:numPr>
        <w:spacing w:after="120" w:line="240" w:lineRule="auto"/>
        <w:ind w:left="850" w:hanging="357"/>
        <w:rPr>
          <w:rFonts w:ascii="Arial" w:hAnsi="Arial" w:cs="Arial"/>
          <w:bCs/>
          <w:sz w:val="20"/>
          <w:szCs w:val="20"/>
        </w:rPr>
      </w:pPr>
      <w:r w:rsidRPr="00F651B4">
        <w:rPr>
          <w:rFonts w:ascii="Arial" w:hAnsi="Arial" w:cs="Arial"/>
          <w:bCs/>
          <w:sz w:val="20"/>
          <w:szCs w:val="20"/>
        </w:rPr>
        <w:t>2 część-pakiet II analityczny</w:t>
      </w:r>
    </w:p>
    <w:p w14:paraId="7EF871FB" w14:textId="77777777" w:rsidR="00472E4A" w:rsidRPr="00F651B4" w:rsidRDefault="00472E4A" w:rsidP="00F651B4">
      <w:pPr>
        <w:pStyle w:val="Tekstpodstawowyzwciciem"/>
        <w:spacing w:line="240" w:lineRule="auto"/>
        <w:ind w:firstLine="0"/>
        <w:jc w:val="both"/>
        <w:rPr>
          <w:rFonts w:ascii="Arial" w:hAnsi="Arial" w:cs="Arial"/>
          <w:bCs/>
          <w:sz w:val="20"/>
          <w:szCs w:val="20"/>
        </w:rPr>
      </w:pPr>
      <w:r w:rsidRPr="00F651B4">
        <w:rPr>
          <w:rFonts w:ascii="Arial" w:hAnsi="Arial" w:cs="Arial"/>
          <w:bCs/>
          <w:sz w:val="20"/>
          <w:szCs w:val="20"/>
        </w:rPr>
        <w:t xml:space="preserve">Odczynniki </w:t>
      </w:r>
      <w:r w:rsidRPr="00F651B4">
        <w:rPr>
          <w:rFonts w:ascii="Arial" w:hAnsi="Arial" w:cs="Arial"/>
          <w:bCs/>
          <w:sz w:val="20"/>
          <w:szCs w:val="20"/>
          <w:lang w:val="pl-PL"/>
        </w:rPr>
        <w:t xml:space="preserve">chemiczne </w:t>
      </w:r>
      <w:r w:rsidRPr="00F651B4">
        <w:rPr>
          <w:rFonts w:ascii="Arial" w:hAnsi="Arial" w:cs="Arial"/>
          <w:bCs/>
          <w:sz w:val="20"/>
          <w:szCs w:val="20"/>
        </w:rPr>
        <w:t>oraz materiały filtracyjne i papierki wskaźnikowe muszą być dostarczane w oryginalnie zamkniętych opakowaniach producenta, przeznaczonych dla danego typu substancji</w:t>
      </w:r>
      <w:r w:rsidRPr="00F651B4">
        <w:rPr>
          <w:rFonts w:ascii="Arial" w:hAnsi="Arial" w:cs="Arial"/>
          <w:bCs/>
          <w:sz w:val="20"/>
          <w:szCs w:val="20"/>
          <w:lang w:val="pl-PL"/>
        </w:rPr>
        <w:t>,</w:t>
      </w:r>
      <w:r w:rsidRPr="00F651B4">
        <w:rPr>
          <w:rFonts w:ascii="Arial" w:hAnsi="Arial" w:cs="Arial"/>
          <w:bCs/>
          <w:sz w:val="20"/>
          <w:szCs w:val="20"/>
        </w:rPr>
        <w:t xml:space="preserve"> zgodnie z obowiązującymi przepisami. </w:t>
      </w:r>
    </w:p>
    <w:p w14:paraId="1C39B6C0" w14:textId="5DD074B9" w:rsidR="00472E4A" w:rsidRPr="00F651B4" w:rsidRDefault="00472E4A" w:rsidP="00F651B4">
      <w:pPr>
        <w:pStyle w:val="Bezodstpw"/>
        <w:spacing w:after="120"/>
        <w:jc w:val="both"/>
        <w:rPr>
          <w:rFonts w:ascii="Arial" w:hAnsi="Arial" w:cs="Arial"/>
          <w:sz w:val="20"/>
          <w:szCs w:val="20"/>
        </w:rPr>
      </w:pPr>
      <w:r w:rsidRPr="00F651B4">
        <w:rPr>
          <w:rFonts w:ascii="Arial" w:hAnsi="Arial" w:cs="Arial"/>
          <w:sz w:val="20"/>
          <w:szCs w:val="20"/>
        </w:rPr>
        <w:t>Wymaga się, aby opakowania wyrobów były zaopatrzone w etykietę handlową, sporządzoną w języku polskim oraz zawierającą wszystkie wymagane informacje. Na etykiecie każdego odczynnika musi znajdować się data ważności</w:t>
      </w:r>
      <w:r w:rsidR="00CC3225">
        <w:rPr>
          <w:rFonts w:ascii="Arial" w:hAnsi="Arial" w:cs="Arial"/>
          <w:sz w:val="20"/>
          <w:szCs w:val="20"/>
        </w:rPr>
        <w:t>.</w:t>
      </w:r>
    </w:p>
    <w:p w14:paraId="6D24B44C" w14:textId="77777777" w:rsidR="00472E4A" w:rsidRPr="00F651B4" w:rsidRDefault="00472E4A" w:rsidP="00F651B4">
      <w:pPr>
        <w:pStyle w:val="Bezodstpw"/>
        <w:spacing w:after="120"/>
        <w:jc w:val="both"/>
        <w:rPr>
          <w:rFonts w:ascii="Arial" w:hAnsi="Arial" w:cs="Arial"/>
          <w:sz w:val="20"/>
          <w:szCs w:val="20"/>
        </w:rPr>
      </w:pPr>
      <w:r w:rsidRPr="00F651B4">
        <w:rPr>
          <w:rFonts w:ascii="Arial" w:hAnsi="Arial" w:cs="Arial"/>
          <w:color w:val="000000"/>
          <w:sz w:val="20"/>
          <w:szCs w:val="20"/>
        </w:rPr>
        <w:t xml:space="preserve">Dostarczane odczynniki chemiczne i materiały filtracyjne muszą odpowiadać wszystkim cechom określonym w Załączniku 1 oraz posiadać nienaruszone cechy opakowania jednostkowego. Ponadto odczynniki nie mogą zawierać zanieczyszczeń mechanicznych. Odczynniki muszą zapewniać co najmniej roczny okres gwarancji od daty dostawy lub co najmniej połowę okresu ważności deklarowanego przez producenta (dla odczynników o okresie ważności równym lub mniejszym od 1 roku). </w:t>
      </w:r>
    </w:p>
    <w:p w14:paraId="3425AB91" w14:textId="211AC822" w:rsidR="00472E4A" w:rsidRPr="00F651B4" w:rsidRDefault="00472E4A" w:rsidP="00F651B4">
      <w:pPr>
        <w:pStyle w:val="Bezodstpw"/>
        <w:spacing w:after="120"/>
        <w:jc w:val="both"/>
        <w:rPr>
          <w:rStyle w:val="TekstpodstawowyZnak"/>
          <w:rFonts w:ascii="Arial" w:eastAsia="Calibri" w:hAnsi="Arial" w:cs="Arial"/>
          <w:sz w:val="20"/>
        </w:rPr>
      </w:pPr>
      <w:r w:rsidRPr="00F651B4">
        <w:rPr>
          <w:rFonts w:ascii="Arial" w:hAnsi="Arial" w:cs="Arial"/>
          <w:sz w:val="20"/>
          <w:szCs w:val="20"/>
        </w:rPr>
        <w:t>Zamawiający dopuszcza oferowanie produktów równoważnych, jeżeli w SWZ znajdują się nazwy konkretnych producentów i/lub nazwy własne wyrobów.</w:t>
      </w:r>
      <w:r w:rsidRPr="00F651B4">
        <w:rPr>
          <w:rStyle w:val="TekstpodstawowyZnak"/>
          <w:rFonts w:ascii="Arial" w:eastAsia="Calibri" w:hAnsi="Arial" w:cs="Arial"/>
          <w:sz w:val="20"/>
        </w:rPr>
        <w:t xml:space="preserve"> </w:t>
      </w:r>
      <w:r w:rsidRPr="00F651B4">
        <w:rPr>
          <w:rFonts w:ascii="Arial" w:eastAsia="Times New Roman" w:hAnsi="Arial" w:cs="Arial"/>
          <w:sz w:val="20"/>
          <w:szCs w:val="20"/>
          <w:lang w:eastAsia="pl-PL"/>
        </w:rPr>
        <w:t xml:space="preserve">Zaproponowane przez Wykonawców w ofercie produkty równoważne muszą </w:t>
      </w:r>
      <w:r w:rsidR="00CC3225">
        <w:rPr>
          <w:rFonts w:ascii="Arial" w:eastAsia="Times New Roman" w:hAnsi="Arial" w:cs="Arial"/>
          <w:sz w:val="20"/>
          <w:szCs w:val="20"/>
          <w:lang w:eastAsia="pl-PL"/>
        </w:rPr>
        <w:t xml:space="preserve">spełniać następujące kryteria równoważności: </w:t>
      </w:r>
      <w:r w:rsidRPr="00F651B4">
        <w:rPr>
          <w:rFonts w:ascii="Arial" w:eastAsia="Times New Roman" w:hAnsi="Arial" w:cs="Arial"/>
          <w:sz w:val="20"/>
          <w:szCs w:val="20"/>
          <w:lang w:eastAsia="pl-PL"/>
        </w:rPr>
        <w:t>posiadać minimalne parametry odpowiadające wyszczególnionym w Załączniku nr 1a także posiadać cechy jakościowe i cechy użytkowe nie gorsze niż produkty wymienione przez Zamawiającego</w:t>
      </w:r>
      <w:r w:rsidR="00CC3225">
        <w:rPr>
          <w:rFonts w:ascii="Arial" w:eastAsia="Times New Roman" w:hAnsi="Arial" w:cs="Arial"/>
          <w:sz w:val="20"/>
          <w:szCs w:val="20"/>
          <w:lang w:eastAsia="pl-PL"/>
        </w:rPr>
        <w:t xml:space="preserve"> </w:t>
      </w:r>
      <w:r w:rsidRPr="00F651B4">
        <w:rPr>
          <w:rFonts w:ascii="Arial" w:eastAsia="Times New Roman" w:hAnsi="Arial" w:cs="Arial"/>
          <w:sz w:val="20"/>
          <w:szCs w:val="20"/>
          <w:lang w:eastAsia="pl-PL"/>
        </w:rPr>
        <w:t>. Rozmiary</w:t>
      </w:r>
      <w:r w:rsidR="00CC3225">
        <w:rPr>
          <w:rFonts w:ascii="Arial" w:eastAsia="Times New Roman" w:hAnsi="Arial" w:cs="Arial"/>
          <w:sz w:val="20"/>
          <w:szCs w:val="20"/>
          <w:u w:val="single"/>
          <w:lang w:eastAsia="pl-PL"/>
        </w:rPr>
        <w:t xml:space="preserve"> </w:t>
      </w:r>
      <w:r w:rsidRPr="00F651B4">
        <w:rPr>
          <w:rFonts w:ascii="Arial" w:eastAsia="Times New Roman" w:hAnsi="Arial" w:cs="Arial"/>
          <w:sz w:val="20"/>
          <w:szCs w:val="20"/>
          <w:lang w:eastAsia="pl-PL"/>
        </w:rPr>
        <w:t>o</w:t>
      </w:r>
      <w:r w:rsidRPr="00F651B4">
        <w:rPr>
          <w:rStyle w:val="TekstpodstawowyZnak"/>
          <w:rFonts w:ascii="Arial" w:eastAsia="Calibri" w:hAnsi="Arial" w:cs="Arial"/>
          <w:sz w:val="20"/>
        </w:rPr>
        <w:t>pakowania jednostkowego nie mogą być większe niż przywołane w Załączniku1. Obowiązek udowodniona równoważności spoczywa na Wykonawcy.</w:t>
      </w:r>
    </w:p>
    <w:p w14:paraId="24339924" w14:textId="77777777" w:rsidR="00472E4A" w:rsidRPr="00F651B4" w:rsidRDefault="00472E4A" w:rsidP="00F651B4">
      <w:pPr>
        <w:pStyle w:val="Bezodstpw"/>
        <w:spacing w:after="120"/>
        <w:jc w:val="both"/>
        <w:rPr>
          <w:rFonts w:ascii="Arial" w:hAnsi="Arial" w:cs="Arial"/>
          <w:sz w:val="20"/>
          <w:szCs w:val="20"/>
        </w:rPr>
      </w:pPr>
      <w:r w:rsidRPr="00F651B4">
        <w:rPr>
          <w:rStyle w:val="TekstpodstawowyZnak"/>
          <w:rFonts w:ascii="Arial" w:eastAsia="Calibri" w:hAnsi="Arial" w:cs="Arial"/>
          <w:sz w:val="20"/>
        </w:rPr>
        <w:t>Zamówienie na poszczególne odczynniki chemiczne i materiały filtracyjne otrzyma Wykonawca, który</w:t>
      </w:r>
      <w:r w:rsidRPr="00F651B4">
        <w:rPr>
          <w:rFonts w:ascii="Arial" w:hAnsi="Arial" w:cs="Arial"/>
          <w:sz w:val="20"/>
          <w:szCs w:val="20"/>
        </w:rPr>
        <w:t xml:space="preserve"> zaoferuje najniższą cenę za dany pakiet. Wykaz odczynników i materiałów filtracyjnych planowanych do zakupu określony jest w załączniku do formularza ofertowego – arkuszu kalkulacyjnym.</w:t>
      </w:r>
    </w:p>
    <w:p w14:paraId="6A86CE25" w14:textId="6CD510AD" w:rsidR="00472E4A" w:rsidRPr="00F651B4" w:rsidRDefault="00472E4A" w:rsidP="00F651B4">
      <w:pPr>
        <w:pStyle w:val="Bezodstpw"/>
        <w:spacing w:after="120"/>
        <w:jc w:val="both"/>
        <w:rPr>
          <w:rFonts w:ascii="Arial" w:hAnsi="Arial" w:cs="Arial"/>
          <w:sz w:val="20"/>
          <w:szCs w:val="20"/>
        </w:rPr>
      </w:pPr>
      <w:r w:rsidRPr="00F651B4">
        <w:rPr>
          <w:rFonts w:ascii="Arial" w:hAnsi="Arial" w:cs="Arial"/>
          <w:sz w:val="20"/>
          <w:szCs w:val="20"/>
        </w:rPr>
        <w:t>Zamawiający zastrzega sobie prawo do zmiany ilości zakupionych materiałów w zależności od zapotrzebowania zakładów naukowych, na zasadach określonych w niniejszym SWZ.</w:t>
      </w:r>
    </w:p>
    <w:p w14:paraId="509F5A00" w14:textId="77777777" w:rsidR="00472E4A" w:rsidRPr="00F651B4" w:rsidRDefault="00472E4A" w:rsidP="00F651B4">
      <w:pPr>
        <w:pStyle w:val="Bezodstpw"/>
        <w:spacing w:after="120"/>
        <w:jc w:val="both"/>
        <w:rPr>
          <w:rFonts w:ascii="Arial" w:hAnsi="Arial" w:cs="Arial"/>
          <w:sz w:val="20"/>
          <w:szCs w:val="20"/>
        </w:rPr>
      </w:pPr>
      <w:r w:rsidRPr="00F651B4">
        <w:rPr>
          <w:rFonts w:ascii="Arial" w:hAnsi="Arial" w:cs="Arial"/>
          <w:sz w:val="20"/>
          <w:szCs w:val="20"/>
        </w:rPr>
        <w:t xml:space="preserve">Zamawiający wymaga, aby Wykonawca posiadał zorganizowany system odbioru pustych opakowań po odczynnikach oraz przedstawił zasady jego funkcjonowania. Preferowane jest organizowanie przez Wykonawcę transportu ładunku (z pustymi opakowaniami) przygotowanego przez Zamawiającego. </w:t>
      </w:r>
    </w:p>
    <w:p w14:paraId="0C4C95CF" w14:textId="77777777" w:rsidR="00472E4A" w:rsidRPr="00F651B4" w:rsidRDefault="00472E4A" w:rsidP="00F651B4">
      <w:pPr>
        <w:pStyle w:val="Bezodstpw"/>
        <w:spacing w:after="120"/>
        <w:rPr>
          <w:rFonts w:ascii="Arial" w:hAnsi="Arial" w:cs="Arial"/>
          <w:b/>
          <w:bCs/>
          <w:sz w:val="20"/>
          <w:szCs w:val="20"/>
          <w:u w:val="single"/>
        </w:rPr>
      </w:pPr>
      <w:r w:rsidRPr="00F651B4">
        <w:rPr>
          <w:rFonts w:ascii="Arial" w:hAnsi="Arial" w:cs="Arial"/>
          <w:b/>
          <w:bCs/>
          <w:sz w:val="20"/>
          <w:szCs w:val="20"/>
          <w:u w:val="single"/>
        </w:rPr>
        <w:t>Zamawiający wymaga, aby odbiór pustych opakowań był uwzględniony w cenie oferty.</w:t>
      </w:r>
    </w:p>
    <w:p w14:paraId="26DE68D6" w14:textId="77777777" w:rsidR="00F651B4" w:rsidRDefault="00F651B4" w:rsidP="00F651B4">
      <w:pPr>
        <w:spacing w:after="120" w:line="240" w:lineRule="auto"/>
        <w:jc w:val="both"/>
        <w:rPr>
          <w:rFonts w:ascii="Arial" w:hAnsi="Arial" w:cs="Arial"/>
          <w:b/>
          <w:sz w:val="20"/>
          <w:szCs w:val="20"/>
        </w:rPr>
      </w:pPr>
    </w:p>
    <w:p w14:paraId="740914F2" w14:textId="77777777" w:rsidR="00F651B4" w:rsidRDefault="00F651B4" w:rsidP="00F651B4">
      <w:pPr>
        <w:spacing w:after="120" w:line="240" w:lineRule="auto"/>
        <w:jc w:val="both"/>
        <w:rPr>
          <w:rFonts w:ascii="Arial" w:hAnsi="Arial" w:cs="Arial"/>
          <w:b/>
          <w:sz w:val="20"/>
          <w:szCs w:val="20"/>
        </w:rPr>
      </w:pPr>
    </w:p>
    <w:p w14:paraId="0B7C6CF0" w14:textId="77777777" w:rsidR="001100BB" w:rsidRDefault="001100BB" w:rsidP="00F651B4">
      <w:pPr>
        <w:spacing w:after="120" w:line="240" w:lineRule="auto"/>
        <w:jc w:val="both"/>
        <w:rPr>
          <w:rFonts w:ascii="Arial" w:hAnsi="Arial" w:cs="Arial"/>
          <w:b/>
          <w:sz w:val="20"/>
          <w:szCs w:val="20"/>
        </w:rPr>
      </w:pPr>
    </w:p>
    <w:p w14:paraId="3368EA19" w14:textId="77777777" w:rsidR="00FB04A7" w:rsidRDefault="00FB04A7" w:rsidP="00F651B4">
      <w:pPr>
        <w:spacing w:after="120" w:line="240" w:lineRule="auto"/>
        <w:jc w:val="both"/>
        <w:rPr>
          <w:rFonts w:ascii="Arial" w:hAnsi="Arial" w:cs="Arial"/>
          <w:b/>
          <w:sz w:val="20"/>
          <w:szCs w:val="20"/>
        </w:rPr>
      </w:pPr>
    </w:p>
    <w:p w14:paraId="05E6FFE1" w14:textId="77777777" w:rsidR="008E528F" w:rsidRDefault="008E528F" w:rsidP="00F651B4">
      <w:pPr>
        <w:spacing w:after="120" w:line="240" w:lineRule="auto"/>
        <w:jc w:val="both"/>
        <w:rPr>
          <w:rFonts w:ascii="Arial" w:hAnsi="Arial" w:cs="Arial"/>
          <w:b/>
          <w:sz w:val="20"/>
          <w:szCs w:val="20"/>
        </w:rPr>
      </w:pPr>
    </w:p>
    <w:p w14:paraId="542A1724" w14:textId="3D68AEDC" w:rsidR="00472E4A" w:rsidRPr="00F651B4" w:rsidRDefault="00472E4A" w:rsidP="00F651B4">
      <w:pPr>
        <w:spacing w:after="120" w:line="240" w:lineRule="auto"/>
        <w:jc w:val="both"/>
        <w:rPr>
          <w:rFonts w:ascii="Arial" w:hAnsi="Arial" w:cs="Arial"/>
          <w:b/>
          <w:sz w:val="20"/>
          <w:szCs w:val="20"/>
        </w:rPr>
      </w:pPr>
      <w:r w:rsidRPr="00F651B4">
        <w:rPr>
          <w:rFonts w:ascii="Arial" w:hAnsi="Arial" w:cs="Arial"/>
          <w:b/>
          <w:sz w:val="20"/>
          <w:szCs w:val="20"/>
        </w:rPr>
        <w:lastRenderedPageBreak/>
        <w:t>Wymagania certyfikacyjne</w:t>
      </w:r>
    </w:p>
    <w:p w14:paraId="6DC699EA" w14:textId="1485C65F" w:rsidR="00472E4A" w:rsidRPr="00F651B4" w:rsidRDefault="00472E4A" w:rsidP="00F651B4">
      <w:pPr>
        <w:spacing w:after="120" w:line="240" w:lineRule="auto"/>
        <w:jc w:val="both"/>
        <w:rPr>
          <w:rFonts w:ascii="Arial" w:hAnsi="Arial" w:cs="Arial"/>
          <w:sz w:val="20"/>
          <w:szCs w:val="20"/>
        </w:rPr>
      </w:pPr>
      <w:r w:rsidRPr="00F651B4">
        <w:rPr>
          <w:rFonts w:ascii="Arial" w:hAnsi="Arial" w:cs="Arial"/>
          <w:sz w:val="20"/>
          <w:szCs w:val="20"/>
        </w:rPr>
        <w:t>Dla odczynników zawartych w pakie</w:t>
      </w:r>
      <w:r w:rsidR="00FB04A7">
        <w:rPr>
          <w:rFonts w:ascii="Arial" w:hAnsi="Arial" w:cs="Arial"/>
          <w:sz w:val="20"/>
          <w:szCs w:val="20"/>
        </w:rPr>
        <w:t>cie</w:t>
      </w:r>
      <w:r w:rsidRPr="00F651B4">
        <w:rPr>
          <w:rFonts w:ascii="Arial" w:hAnsi="Arial" w:cs="Arial"/>
          <w:sz w:val="20"/>
          <w:szCs w:val="20"/>
        </w:rPr>
        <w:t xml:space="preserve"> II, przeznaczonych do stosowania podczas wykonywania specjalistycznych analiz chemicznych, wymagane jest zwalnianie produktu do obrotu przez Laboratorium pracujące w systemie jakości zgodnym z normą ISO/IEC 17025 „Ogólne wymagania dotyczące kompetencji laboratoriów badawczych i wzorcujących” w celu potwierdzenia wiarygodności wyników badań zawartych w Świadectwie Kontroli Jakości dla odczynnika. Zamawiający preferuje sposób oceny spełniania tego warunku na podstawie przedstawionego certyfikatu akredytacji (krajowej lub zagranicznej) laboratorium producenta zgodnie z powołaną normą. W przypadku braku certyfikatu akredytacji wymagane będzie przedstawienie pisemnego oświadczenia Wykonawcy, że Laboratorium zwalniające odczynniki do obrotu pracuje w systemie jakości zgodnym z normą ISO/IEC 17025.</w:t>
      </w:r>
    </w:p>
    <w:p w14:paraId="770B9E0A" w14:textId="77777777" w:rsidR="00472E4A" w:rsidRPr="00F651B4" w:rsidRDefault="00472E4A" w:rsidP="00F651B4">
      <w:pPr>
        <w:pStyle w:val="Akapitzlist"/>
        <w:numPr>
          <w:ilvl w:val="0"/>
          <w:numId w:val="1"/>
        </w:numPr>
        <w:spacing w:after="120" w:line="240" w:lineRule="auto"/>
        <w:ind w:left="426" w:hanging="216"/>
        <w:contextualSpacing w:val="0"/>
        <w:rPr>
          <w:rFonts w:ascii="Arial" w:hAnsi="Arial" w:cs="Arial"/>
          <w:sz w:val="20"/>
          <w:szCs w:val="20"/>
        </w:rPr>
      </w:pPr>
      <w:r w:rsidRPr="00F651B4">
        <w:rPr>
          <w:rFonts w:ascii="Arial" w:hAnsi="Arial" w:cs="Arial"/>
          <w:b/>
          <w:bCs/>
          <w:sz w:val="20"/>
          <w:szCs w:val="20"/>
        </w:rPr>
        <w:t>MIEJSCE I TERMIN WYKONANIA ZAMÓWIENIA</w:t>
      </w:r>
    </w:p>
    <w:p w14:paraId="13BAE58A" w14:textId="77777777" w:rsidR="00472E4A" w:rsidRPr="00F651B4" w:rsidRDefault="00472E4A" w:rsidP="00F651B4">
      <w:pPr>
        <w:widowControl w:val="0"/>
        <w:numPr>
          <w:ilvl w:val="0"/>
          <w:numId w:val="3"/>
        </w:numPr>
        <w:spacing w:after="120" w:line="240" w:lineRule="auto"/>
        <w:ind w:left="426" w:hanging="426"/>
        <w:rPr>
          <w:rFonts w:ascii="Arial" w:hAnsi="Arial" w:cs="Arial"/>
          <w:sz w:val="20"/>
          <w:szCs w:val="20"/>
        </w:rPr>
      </w:pPr>
      <w:r w:rsidRPr="00F651B4">
        <w:rPr>
          <w:rFonts w:ascii="Arial" w:hAnsi="Arial" w:cs="Arial"/>
          <w:sz w:val="20"/>
          <w:szCs w:val="20"/>
        </w:rPr>
        <w:t>Miejsce dostarczenia zamówienia:</w:t>
      </w:r>
    </w:p>
    <w:p w14:paraId="45E718C8" w14:textId="77777777" w:rsidR="00F651B4" w:rsidRDefault="00472E4A" w:rsidP="00F651B4">
      <w:pPr>
        <w:widowControl w:val="0"/>
        <w:numPr>
          <w:ilvl w:val="0"/>
          <w:numId w:val="6"/>
        </w:numPr>
        <w:spacing w:after="0" w:line="240" w:lineRule="auto"/>
        <w:rPr>
          <w:rFonts w:ascii="Arial" w:hAnsi="Arial" w:cs="Arial"/>
          <w:sz w:val="20"/>
          <w:szCs w:val="20"/>
        </w:rPr>
      </w:pPr>
      <w:r w:rsidRPr="00F651B4">
        <w:rPr>
          <w:rFonts w:ascii="Arial" w:hAnsi="Arial" w:cs="Arial"/>
          <w:sz w:val="20"/>
          <w:szCs w:val="20"/>
        </w:rPr>
        <w:t>Sieć Badawcza Łukasiewicz - Instytut Metali Nieżelaznych</w:t>
      </w:r>
    </w:p>
    <w:p w14:paraId="04049503" w14:textId="5A1E8780" w:rsidR="00472E4A" w:rsidRPr="00F651B4" w:rsidRDefault="00472E4A" w:rsidP="00F651B4">
      <w:pPr>
        <w:pStyle w:val="Akapitzlist"/>
        <w:widowControl w:val="0"/>
        <w:spacing w:after="120" w:line="240" w:lineRule="auto"/>
        <w:contextualSpacing w:val="0"/>
        <w:rPr>
          <w:rFonts w:ascii="Arial" w:hAnsi="Arial" w:cs="Arial"/>
          <w:sz w:val="20"/>
          <w:szCs w:val="20"/>
        </w:rPr>
      </w:pPr>
      <w:r w:rsidRPr="00F651B4">
        <w:rPr>
          <w:rFonts w:ascii="Arial" w:hAnsi="Arial" w:cs="Arial"/>
          <w:sz w:val="20"/>
          <w:szCs w:val="20"/>
        </w:rPr>
        <w:t xml:space="preserve">44-100 </w:t>
      </w:r>
      <w:r w:rsidRPr="00E1510C">
        <w:rPr>
          <w:rFonts w:ascii="Arial" w:hAnsi="Arial" w:cs="Arial"/>
          <w:sz w:val="20"/>
          <w:szCs w:val="20"/>
        </w:rPr>
        <w:t>Gliwice</w:t>
      </w:r>
      <w:r w:rsidR="00E1510C">
        <w:rPr>
          <w:rFonts w:ascii="Arial" w:hAnsi="Arial" w:cs="Arial"/>
          <w:sz w:val="20"/>
          <w:szCs w:val="20"/>
        </w:rPr>
        <w:t>,</w:t>
      </w:r>
      <w:r w:rsidRPr="00F651B4">
        <w:rPr>
          <w:rFonts w:ascii="Arial" w:hAnsi="Arial" w:cs="Arial"/>
          <w:sz w:val="20"/>
          <w:szCs w:val="20"/>
        </w:rPr>
        <w:t xml:space="preserve"> ul. Sowińskiego 5</w:t>
      </w:r>
      <w:r w:rsidR="00F651B4" w:rsidRPr="00F651B4">
        <w:rPr>
          <w:rFonts w:ascii="Arial" w:hAnsi="Arial" w:cs="Arial"/>
          <w:sz w:val="20"/>
          <w:szCs w:val="20"/>
        </w:rPr>
        <w:t>;</w:t>
      </w:r>
    </w:p>
    <w:p w14:paraId="4A3D4FC4" w14:textId="77777777" w:rsidR="00F651B4" w:rsidRDefault="00472E4A" w:rsidP="00F651B4">
      <w:pPr>
        <w:widowControl w:val="0"/>
        <w:numPr>
          <w:ilvl w:val="0"/>
          <w:numId w:val="6"/>
        </w:numPr>
        <w:spacing w:after="0" w:line="240" w:lineRule="auto"/>
        <w:rPr>
          <w:rFonts w:ascii="Arial" w:hAnsi="Arial" w:cs="Arial"/>
          <w:sz w:val="20"/>
          <w:szCs w:val="20"/>
        </w:rPr>
      </w:pPr>
      <w:r w:rsidRPr="00F651B4">
        <w:rPr>
          <w:rFonts w:ascii="Arial" w:hAnsi="Arial" w:cs="Arial"/>
          <w:sz w:val="20"/>
          <w:szCs w:val="20"/>
        </w:rPr>
        <w:t xml:space="preserve">Sieć Badawcza Łukasiewicz - Instytut Metali Nieżelaznych </w:t>
      </w:r>
    </w:p>
    <w:p w14:paraId="3ED53835" w14:textId="00217185" w:rsidR="00472E4A" w:rsidRPr="00F651B4" w:rsidRDefault="00472E4A" w:rsidP="00F651B4">
      <w:pPr>
        <w:pStyle w:val="Akapitzlist"/>
        <w:widowControl w:val="0"/>
        <w:spacing w:after="120" w:line="240" w:lineRule="auto"/>
        <w:contextualSpacing w:val="0"/>
        <w:rPr>
          <w:rFonts w:ascii="Arial" w:hAnsi="Arial" w:cs="Arial"/>
          <w:b/>
          <w:bCs/>
          <w:sz w:val="20"/>
          <w:szCs w:val="20"/>
        </w:rPr>
      </w:pPr>
      <w:r w:rsidRPr="00F651B4">
        <w:rPr>
          <w:rFonts w:ascii="Arial" w:hAnsi="Arial" w:cs="Arial"/>
          <w:sz w:val="20"/>
          <w:szCs w:val="20"/>
        </w:rPr>
        <w:t xml:space="preserve">Oddział w </w:t>
      </w:r>
      <w:r w:rsidRPr="00E1510C">
        <w:rPr>
          <w:rFonts w:ascii="Arial" w:hAnsi="Arial" w:cs="Arial"/>
          <w:sz w:val="20"/>
          <w:szCs w:val="20"/>
        </w:rPr>
        <w:t>Skawinie</w:t>
      </w:r>
      <w:r w:rsidR="00F651B4" w:rsidRPr="00F651B4">
        <w:rPr>
          <w:rFonts w:ascii="Arial" w:hAnsi="Arial" w:cs="Arial"/>
          <w:b/>
          <w:bCs/>
          <w:sz w:val="20"/>
          <w:szCs w:val="20"/>
        </w:rPr>
        <w:t xml:space="preserve">, </w:t>
      </w:r>
      <w:r w:rsidRPr="00F651B4">
        <w:rPr>
          <w:rFonts w:ascii="Arial" w:hAnsi="Arial" w:cs="Arial"/>
          <w:sz w:val="20"/>
          <w:szCs w:val="20"/>
        </w:rPr>
        <w:t>32-050 Skawina, ul. Piłsudzkiego 19</w:t>
      </w:r>
      <w:r w:rsidR="00F651B4" w:rsidRPr="00F651B4">
        <w:rPr>
          <w:rFonts w:ascii="Arial" w:hAnsi="Arial" w:cs="Arial"/>
          <w:sz w:val="20"/>
          <w:szCs w:val="20"/>
        </w:rPr>
        <w:t>;</w:t>
      </w:r>
    </w:p>
    <w:p w14:paraId="29A92D38" w14:textId="77777777" w:rsidR="00F651B4" w:rsidRDefault="00472E4A" w:rsidP="00F651B4">
      <w:pPr>
        <w:widowControl w:val="0"/>
        <w:numPr>
          <w:ilvl w:val="0"/>
          <w:numId w:val="6"/>
        </w:numPr>
        <w:spacing w:after="0" w:line="240" w:lineRule="auto"/>
        <w:rPr>
          <w:rFonts w:ascii="Arial" w:hAnsi="Arial" w:cs="Arial"/>
          <w:sz w:val="20"/>
          <w:szCs w:val="20"/>
        </w:rPr>
      </w:pPr>
      <w:r w:rsidRPr="00F651B4">
        <w:rPr>
          <w:rFonts w:ascii="Arial" w:hAnsi="Arial" w:cs="Arial"/>
          <w:sz w:val="20"/>
          <w:szCs w:val="20"/>
        </w:rPr>
        <w:t xml:space="preserve">Sieć Badawcza Łukasiewicz - Instytut Metali Nieżelaznych </w:t>
      </w:r>
    </w:p>
    <w:p w14:paraId="14DA11DD" w14:textId="3041F181" w:rsidR="00472E4A" w:rsidRPr="00F651B4" w:rsidRDefault="00472E4A" w:rsidP="00F651B4">
      <w:pPr>
        <w:pStyle w:val="Akapitzlist"/>
        <w:widowControl w:val="0"/>
        <w:spacing w:after="120" w:line="240" w:lineRule="auto"/>
        <w:contextualSpacing w:val="0"/>
        <w:rPr>
          <w:rFonts w:ascii="Arial" w:hAnsi="Arial" w:cs="Arial"/>
          <w:sz w:val="20"/>
          <w:szCs w:val="20"/>
        </w:rPr>
      </w:pPr>
      <w:r w:rsidRPr="00F651B4">
        <w:rPr>
          <w:rFonts w:ascii="Arial" w:hAnsi="Arial" w:cs="Arial"/>
          <w:sz w:val="20"/>
          <w:szCs w:val="20"/>
        </w:rPr>
        <w:t xml:space="preserve">Oddział w </w:t>
      </w:r>
      <w:r w:rsidRPr="00E1510C">
        <w:rPr>
          <w:rFonts w:ascii="Arial" w:hAnsi="Arial" w:cs="Arial"/>
          <w:sz w:val="20"/>
          <w:szCs w:val="20"/>
        </w:rPr>
        <w:t>Poznaniu</w:t>
      </w:r>
      <w:r w:rsidRPr="00F651B4">
        <w:rPr>
          <w:rFonts w:ascii="Arial" w:hAnsi="Arial" w:cs="Arial"/>
          <w:sz w:val="20"/>
          <w:szCs w:val="20"/>
        </w:rPr>
        <w:t>, 61-362 Poznań, ul. Forteczn</w:t>
      </w:r>
      <w:r w:rsidR="00F651B4" w:rsidRPr="00F651B4">
        <w:rPr>
          <w:rFonts w:ascii="Arial" w:hAnsi="Arial" w:cs="Arial"/>
          <w:sz w:val="20"/>
          <w:szCs w:val="20"/>
        </w:rPr>
        <w:t>a</w:t>
      </w:r>
      <w:r w:rsidRPr="00F651B4">
        <w:rPr>
          <w:rFonts w:ascii="Arial" w:hAnsi="Arial" w:cs="Arial"/>
          <w:sz w:val="20"/>
          <w:szCs w:val="20"/>
        </w:rPr>
        <w:t xml:space="preserve"> 12</w:t>
      </w:r>
      <w:r w:rsidR="00F651B4" w:rsidRPr="00F651B4">
        <w:rPr>
          <w:rFonts w:ascii="Arial" w:hAnsi="Arial" w:cs="Arial"/>
          <w:sz w:val="20"/>
          <w:szCs w:val="20"/>
        </w:rPr>
        <w:t>,</w:t>
      </w:r>
    </w:p>
    <w:p w14:paraId="780BDE1D" w14:textId="77777777" w:rsidR="00F651B4" w:rsidRPr="00F651B4" w:rsidRDefault="003F31E0" w:rsidP="00F651B4">
      <w:pPr>
        <w:widowControl w:val="0"/>
        <w:numPr>
          <w:ilvl w:val="0"/>
          <w:numId w:val="6"/>
        </w:numPr>
        <w:spacing w:after="0" w:line="240" w:lineRule="auto"/>
        <w:rPr>
          <w:rFonts w:ascii="Arial" w:hAnsi="Arial" w:cs="Arial"/>
          <w:b/>
          <w:bCs/>
          <w:sz w:val="20"/>
          <w:szCs w:val="20"/>
        </w:rPr>
      </w:pPr>
      <w:r w:rsidRPr="00F651B4">
        <w:rPr>
          <w:rFonts w:ascii="Arial" w:hAnsi="Arial" w:cs="Arial"/>
          <w:sz w:val="20"/>
          <w:szCs w:val="20"/>
        </w:rPr>
        <w:t>Sieć Badawcza Łukasiewicz - Instytut Metali Nieżelaznych</w:t>
      </w:r>
    </w:p>
    <w:p w14:paraId="7BFFAA17" w14:textId="27C3942B" w:rsidR="003F31E0" w:rsidRPr="00F651B4" w:rsidRDefault="00F651B4" w:rsidP="00F651B4">
      <w:pPr>
        <w:pStyle w:val="Akapitzlist"/>
        <w:widowControl w:val="0"/>
        <w:spacing w:after="120" w:line="240" w:lineRule="auto"/>
        <w:contextualSpacing w:val="0"/>
        <w:rPr>
          <w:rFonts w:ascii="Arial" w:hAnsi="Arial" w:cs="Arial"/>
          <w:b/>
          <w:bCs/>
          <w:sz w:val="20"/>
          <w:szCs w:val="20"/>
        </w:rPr>
      </w:pPr>
      <w:r>
        <w:rPr>
          <w:rFonts w:ascii="Arial" w:hAnsi="Arial" w:cs="Arial"/>
          <w:sz w:val="20"/>
          <w:szCs w:val="20"/>
        </w:rPr>
        <w:t xml:space="preserve">Oddział w Legnicy, </w:t>
      </w:r>
      <w:r w:rsidRPr="00F651B4">
        <w:rPr>
          <w:rFonts w:ascii="Arial" w:hAnsi="Arial" w:cs="Arial"/>
          <w:sz w:val="20"/>
          <w:szCs w:val="20"/>
        </w:rPr>
        <w:t>59-220 Legnica</w:t>
      </w:r>
      <w:r>
        <w:rPr>
          <w:rFonts w:ascii="Arial" w:hAnsi="Arial" w:cs="Arial"/>
          <w:sz w:val="20"/>
          <w:szCs w:val="20"/>
        </w:rPr>
        <w:t xml:space="preserve">, </w:t>
      </w:r>
      <w:r w:rsidR="003F31E0" w:rsidRPr="00F651B4">
        <w:rPr>
          <w:rFonts w:ascii="Arial" w:hAnsi="Arial" w:cs="Arial"/>
          <w:sz w:val="20"/>
          <w:szCs w:val="20"/>
        </w:rPr>
        <w:t>ul. Złotoryjska 89</w:t>
      </w:r>
      <w:r>
        <w:rPr>
          <w:rFonts w:ascii="Arial" w:hAnsi="Arial" w:cs="Arial"/>
          <w:sz w:val="20"/>
          <w:szCs w:val="20"/>
        </w:rPr>
        <w:t>.</w:t>
      </w:r>
    </w:p>
    <w:p w14:paraId="54A7AFDD" w14:textId="77777777" w:rsidR="00472E4A" w:rsidRPr="00F651B4" w:rsidRDefault="00472E4A" w:rsidP="00F651B4">
      <w:pPr>
        <w:widowControl w:val="0"/>
        <w:numPr>
          <w:ilvl w:val="0"/>
          <w:numId w:val="3"/>
        </w:numPr>
        <w:spacing w:after="120" w:line="240" w:lineRule="auto"/>
        <w:ind w:left="426" w:hanging="426"/>
        <w:rPr>
          <w:rFonts w:ascii="Arial" w:hAnsi="Arial" w:cs="Arial"/>
          <w:sz w:val="20"/>
          <w:szCs w:val="20"/>
        </w:rPr>
      </w:pPr>
      <w:r w:rsidRPr="00F651B4">
        <w:rPr>
          <w:rFonts w:ascii="Arial" w:hAnsi="Arial" w:cs="Arial"/>
          <w:sz w:val="20"/>
          <w:szCs w:val="20"/>
        </w:rPr>
        <w:t>Termin wykonania zamówienia:</w:t>
      </w:r>
    </w:p>
    <w:p w14:paraId="19AA53A4" w14:textId="06525EA9" w:rsidR="00A204DA" w:rsidRPr="00F651B4" w:rsidRDefault="00472E4A" w:rsidP="00F651B4">
      <w:pPr>
        <w:pStyle w:val="Tekstpodstawowy"/>
        <w:spacing w:after="120"/>
        <w:ind w:left="426"/>
        <w:rPr>
          <w:rFonts w:ascii="Arial" w:hAnsi="Arial" w:cs="Arial"/>
          <w:sz w:val="20"/>
        </w:rPr>
      </w:pPr>
      <w:r w:rsidRPr="00F651B4">
        <w:rPr>
          <w:rFonts w:ascii="Arial" w:hAnsi="Arial" w:cs="Arial"/>
          <w:sz w:val="20"/>
          <w:lang w:val="pl-PL"/>
        </w:rPr>
        <w:t>Sukcesywnie do 3</w:t>
      </w:r>
      <w:r w:rsidR="001B5454">
        <w:rPr>
          <w:rFonts w:ascii="Arial" w:hAnsi="Arial" w:cs="Arial"/>
          <w:sz w:val="20"/>
          <w:lang w:val="pl-PL"/>
        </w:rPr>
        <w:t>0</w:t>
      </w:r>
      <w:r w:rsidRPr="00F651B4">
        <w:rPr>
          <w:rFonts w:ascii="Arial" w:hAnsi="Arial" w:cs="Arial"/>
          <w:sz w:val="20"/>
          <w:lang w:val="pl-PL"/>
        </w:rPr>
        <w:t>.</w:t>
      </w:r>
      <w:r w:rsidR="008C5E5C" w:rsidRPr="00F651B4">
        <w:rPr>
          <w:rFonts w:ascii="Arial" w:hAnsi="Arial" w:cs="Arial"/>
          <w:sz w:val="20"/>
          <w:lang w:val="pl-PL"/>
        </w:rPr>
        <w:t>0</w:t>
      </w:r>
      <w:r w:rsidR="001B5454">
        <w:rPr>
          <w:rFonts w:ascii="Arial" w:hAnsi="Arial" w:cs="Arial"/>
          <w:sz w:val="20"/>
          <w:lang w:val="pl-PL"/>
        </w:rPr>
        <w:t>6</w:t>
      </w:r>
      <w:r w:rsidRPr="00F651B4">
        <w:rPr>
          <w:rFonts w:ascii="Arial" w:hAnsi="Arial" w:cs="Arial"/>
          <w:sz w:val="20"/>
          <w:lang w:val="pl-PL"/>
        </w:rPr>
        <w:t>.202</w:t>
      </w:r>
      <w:r w:rsidR="002877A0" w:rsidRPr="00F651B4">
        <w:rPr>
          <w:rFonts w:ascii="Arial" w:hAnsi="Arial" w:cs="Arial"/>
          <w:sz w:val="20"/>
          <w:lang w:val="pl-PL"/>
        </w:rPr>
        <w:t>5</w:t>
      </w:r>
      <w:r w:rsidRPr="00F651B4">
        <w:rPr>
          <w:rFonts w:ascii="Arial" w:hAnsi="Arial" w:cs="Arial"/>
          <w:sz w:val="20"/>
          <w:lang w:val="pl-PL"/>
        </w:rPr>
        <w:t xml:space="preserve"> r.</w:t>
      </w:r>
    </w:p>
    <w:sectPr w:rsidR="00A204DA" w:rsidRPr="00F651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0000000000000000000"/>
    <w:charset w:val="EE"/>
    <w:family w:val="auto"/>
    <w:pitch w:val="variable"/>
    <w:sig w:usb0="A00002EF" w:usb1="4000204B"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17C11"/>
    <w:multiLevelType w:val="multilevel"/>
    <w:tmpl w:val="1736CC7E"/>
    <w:lvl w:ilvl="0">
      <w:start w:val="1"/>
      <w:numFmt w:val="decimal"/>
      <w:lvlText w:val="%1."/>
      <w:lvlJc w:val="left"/>
      <w:pPr>
        <w:ind w:left="502"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A672942"/>
    <w:multiLevelType w:val="hybridMultilevel"/>
    <w:tmpl w:val="07B874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09E76EA"/>
    <w:multiLevelType w:val="hybridMultilevel"/>
    <w:tmpl w:val="678C0578"/>
    <w:lvl w:ilvl="0" w:tplc="FEEAF7AA">
      <w:start w:val="1"/>
      <w:numFmt w:val="bullet"/>
      <w:lvlText w:val="-"/>
      <w:lvlJc w:val="left"/>
      <w:pPr>
        <w:ind w:left="1146" w:hanging="360"/>
      </w:pPr>
      <w:rPr>
        <w:rFonts w:ascii="Sitka Small" w:hAnsi="Sitka Smal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2BC259B9"/>
    <w:multiLevelType w:val="hybridMultilevel"/>
    <w:tmpl w:val="8E364BE0"/>
    <w:lvl w:ilvl="0" w:tplc="FEEAF7AA">
      <w:start w:val="1"/>
      <w:numFmt w:val="bullet"/>
      <w:lvlText w:val="-"/>
      <w:lvlJc w:val="left"/>
      <w:pPr>
        <w:ind w:left="1440" w:hanging="360"/>
      </w:pPr>
      <w:rPr>
        <w:rFonts w:ascii="Sitka Small" w:hAnsi="Sitka Smal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548838B6"/>
    <w:multiLevelType w:val="hybridMultilevel"/>
    <w:tmpl w:val="7A4C1EA0"/>
    <w:lvl w:ilvl="0" w:tplc="41EE95F8">
      <w:start w:val="1"/>
      <w:numFmt w:val="decimal"/>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7B4E2EED"/>
    <w:multiLevelType w:val="hybridMultilevel"/>
    <w:tmpl w:val="A9BE5E44"/>
    <w:lvl w:ilvl="0" w:tplc="D0D4CF2A">
      <w:start w:val="1"/>
      <w:numFmt w:val="upperRoman"/>
      <w:lvlText w:val="%1."/>
      <w:lvlJc w:val="right"/>
      <w:pPr>
        <w:ind w:left="720" w:hanging="360"/>
      </w:pPr>
      <w:rPr>
        <w:rFonts w:ascii="Times New Roman" w:hAnsi="Times New Roman" w:cs="Times New Roman" w:hint="default"/>
        <w:b/>
        <w:color w:val="auto"/>
        <w:sz w:val="24"/>
      </w:rPr>
    </w:lvl>
    <w:lvl w:ilvl="1" w:tplc="B35072C2">
      <w:start w:val="1"/>
      <w:numFmt w:val="decimal"/>
      <w:lvlText w:val="%2."/>
      <w:lvlJc w:val="left"/>
      <w:pPr>
        <w:ind w:left="360" w:hanging="360"/>
      </w:pPr>
      <w:rPr>
        <w:rFonts w:ascii="Calibri" w:eastAsia="Times New Roman" w:hAnsi="Calibri" w:cs="Calibri"/>
        <w:i w:val="0"/>
      </w:rPr>
    </w:lvl>
    <w:lvl w:ilvl="2" w:tplc="04150001">
      <w:start w:val="1"/>
      <w:numFmt w:val="bullet"/>
      <w:lvlText w:val=""/>
      <w:lvlJc w:val="left"/>
      <w:pPr>
        <w:ind w:left="1031" w:hanging="180"/>
      </w:pPr>
      <w:rPr>
        <w:rFonts w:ascii="Symbol" w:hAnsi="Symbol" w:hint="default"/>
      </w:rPr>
    </w:lvl>
    <w:lvl w:ilvl="3" w:tplc="0415000B">
      <w:start w:val="1"/>
      <w:numFmt w:val="bullet"/>
      <w:lvlText w:val=""/>
      <w:lvlJc w:val="left"/>
      <w:pPr>
        <w:ind w:left="2880" w:hanging="360"/>
      </w:pPr>
      <w:rPr>
        <w:rFonts w:ascii="Wingdings" w:hAnsi="Wingding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26906996">
    <w:abstractNumId w:val="5"/>
  </w:num>
  <w:num w:numId="2" w16cid:durableId="464205058">
    <w:abstractNumId w:val="0"/>
  </w:num>
  <w:num w:numId="3" w16cid:durableId="2076314045">
    <w:abstractNumId w:val="4"/>
  </w:num>
  <w:num w:numId="4" w16cid:durableId="498498768">
    <w:abstractNumId w:val="3"/>
  </w:num>
  <w:num w:numId="5" w16cid:durableId="266080696">
    <w:abstractNumId w:val="2"/>
  </w:num>
  <w:num w:numId="6" w16cid:durableId="736167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FC"/>
    <w:rsid w:val="00055778"/>
    <w:rsid w:val="000E07FC"/>
    <w:rsid w:val="001100BB"/>
    <w:rsid w:val="001B5454"/>
    <w:rsid w:val="001D3E62"/>
    <w:rsid w:val="002877A0"/>
    <w:rsid w:val="002A4E4A"/>
    <w:rsid w:val="00380F0F"/>
    <w:rsid w:val="003B1904"/>
    <w:rsid w:val="003F31E0"/>
    <w:rsid w:val="00472E4A"/>
    <w:rsid w:val="00476474"/>
    <w:rsid w:val="0048787C"/>
    <w:rsid w:val="004F7F78"/>
    <w:rsid w:val="00542F14"/>
    <w:rsid w:val="005754FC"/>
    <w:rsid w:val="007555C2"/>
    <w:rsid w:val="008C5E5C"/>
    <w:rsid w:val="008E528F"/>
    <w:rsid w:val="00900E63"/>
    <w:rsid w:val="00974C48"/>
    <w:rsid w:val="00A204DA"/>
    <w:rsid w:val="00A53D6B"/>
    <w:rsid w:val="00AF648C"/>
    <w:rsid w:val="00B670D7"/>
    <w:rsid w:val="00CC3225"/>
    <w:rsid w:val="00D3237F"/>
    <w:rsid w:val="00E0579E"/>
    <w:rsid w:val="00E1510C"/>
    <w:rsid w:val="00E83815"/>
    <w:rsid w:val="00F0102A"/>
    <w:rsid w:val="00F651B4"/>
    <w:rsid w:val="00FB04A7"/>
    <w:rsid w:val="00FE7221"/>
    <w:rsid w:val="00FE7F86"/>
    <w:rsid w:val="00FF12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75211"/>
  <w15:chartTrackingRefBased/>
  <w15:docId w15:val="{081DA48C-AB4E-409A-87D0-A6227FA8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2E4A"/>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72E4A"/>
    <w:pPr>
      <w:ind w:left="720"/>
      <w:contextualSpacing/>
    </w:pPr>
  </w:style>
  <w:style w:type="paragraph" w:styleId="Bezodstpw">
    <w:name w:val="No Spacing"/>
    <w:qFormat/>
    <w:rsid w:val="00472E4A"/>
    <w:pPr>
      <w:spacing w:after="0" w:line="240" w:lineRule="auto"/>
    </w:pPr>
    <w:rPr>
      <w:rFonts w:ascii="Calibri" w:eastAsia="Calibri" w:hAnsi="Calibri" w:cs="Times New Roman"/>
    </w:rPr>
  </w:style>
  <w:style w:type="paragraph" w:styleId="Tekstpodstawowy">
    <w:name w:val="Body Text"/>
    <w:basedOn w:val="Normalny"/>
    <w:link w:val="TekstpodstawowyZnak"/>
    <w:rsid w:val="00472E4A"/>
    <w:pPr>
      <w:widowControl w:val="0"/>
      <w:spacing w:after="0" w:line="240" w:lineRule="auto"/>
    </w:pPr>
    <w:rPr>
      <w:rFonts w:ascii="Times New Roman" w:eastAsia="Times New Roman" w:hAnsi="Times New Roman"/>
      <w:snapToGrid w:val="0"/>
      <w:sz w:val="24"/>
      <w:szCs w:val="20"/>
      <w:lang w:val="x-none" w:eastAsia="x-none"/>
    </w:rPr>
  </w:style>
  <w:style w:type="character" w:customStyle="1" w:styleId="TekstpodstawowyZnak">
    <w:name w:val="Tekst podstawowy Znak"/>
    <w:basedOn w:val="Domylnaczcionkaakapitu"/>
    <w:link w:val="Tekstpodstawowy"/>
    <w:rsid w:val="00472E4A"/>
    <w:rPr>
      <w:rFonts w:ascii="Times New Roman" w:eastAsia="Times New Roman" w:hAnsi="Times New Roman" w:cs="Times New Roman"/>
      <w:snapToGrid w:val="0"/>
      <w:sz w:val="24"/>
      <w:szCs w:val="20"/>
      <w:lang w:val="x-none" w:eastAsia="x-none"/>
    </w:rPr>
  </w:style>
  <w:style w:type="paragraph" w:styleId="Tekstpodstawowyzwciciem">
    <w:name w:val="Body Text First Indent"/>
    <w:basedOn w:val="Tekstpodstawowy"/>
    <w:link w:val="TekstpodstawowyzwciciemZnak"/>
    <w:uiPriority w:val="99"/>
    <w:semiHidden/>
    <w:unhideWhenUsed/>
    <w:rsid w:val="00472E4A"/>
    <w:pPr>
      <w:widowControl/>
      <w:spacing w:after="120" w:line="276" w:lineRule="auto"/>
      <w:ind w:firstLine="210"/>
    </w:pPr>
    <w:rPr>
      <w:snapToGrid/>
      <w:sz w:val="22"/>
      <w:szCs w:val="22"/>
      <w:lang w:eastAsia="en-US"/>
    </w:rPr>
  </w:style>
  <w:style w:type="character" w:customStyle="1" w:styleId="TekstpodstawowyzwciciemZnak">
    <w:name w:val="Tekst podstawowy z wcięciem Znak"/>
    <w:basedOn w:val="TekstpodstawowyZnak"/>
    <w:link w:val="Tekstpodstawowyzwciciem"/>
    <w:uiPriority w:val="99"/>
    <w:semiHidden/>
    <w:rsid w:val="00472E4A"/>
    <w:rPr>
      <w:rFonts w:ascii="Times New Roman" w:eastAsia="Times New Roman" w:hAnsi="Times New Roman" w:cs="Times New Roman"/>
      <w:snapToGrid/>
      <w:sz w:val="24"/>
      <w:szCs w:val="20"/>
      <w:lang w:val="x-none" w:eastAsia="x-none"/>
    </w:rPr>
  </w:style>
  <w:style w:type="paragraph" w:styleId="Poprawka">
    <w:name w:val="Revision"/>
    <w:hidden/>
    <w:uiPriority w:val="99"/>
    <w:semiHidden/>
    <w:rsid w:val="00CC3225"/>
    <w:pPr>
      <w:spacing w:after="0" w:line="240" w:lineRule="auto"/>
    </w:pPr>
    <w:rPr>
      <w:rFonts w:ascii="Calibri" w:eastAsia="Calibri" w:hAnsi="Calibri" w:cs="Times New Roman"/>
    </w:rPr>
  </w:style>
  <w:style w:type="character" w:styleId="Odwoaniedokomentarza">
    <w:name w:val="annotation reference"/>
    <w:basedOn w:val="Domylnaczcionkaakapitu"/>
    <w:uiPriority w:val="99"/>
    <w:semiHidden/>
    <w:unhideWhenUsed/>
    <w:rsid w:val="00CC3225"/>
    <w:rPr>
      <w:sz w:val="16"/>
      <w:szCs w:val="16"/>
    </w:rPr>
  </w:style>
  <w:style w:type="paragraph" w:styleId="Tekstkomentarza">
    <w:name w:val="annotation text"/>
    <w:basedOn w:val="Normalny"/>
    <w:link w:val="TekstkomentarzaZnak"/>
    <w:uiPriority w:val="99"/>
    <w:unhideWhenUsed/>
    <w:rsid w:val="00CC3225"/>
    <w:pPr>
      <w:spacing w:line="240" w:lineRule="auto"/>
    </w:pPr>
    <w:rPr>
      <w:sz w:val="20"/>
      <w:szCs w:val="20"/>
    </w:rPr>
  </w:style>
  <w:style w:type="character" w:customStyle="1" w:styleId="TekstkomentarzaZnak">
    <w:name w:val="Tekst komentarza Znak"/>
    <w:basedOn w:val="Domylnaczcionkaakapitu"/>
    <w:link w:val="Tekstkomentarza"/>
    <w:uiPriority w:val="99"/>
    <w:rsid w:val="00CC322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C3225"/>
    <w:rPr>
      <w:b/>
      <w:bCs/>
    </w:rPr>
  </w:style>
  <w:style w:type="character" w:customStyle="1" w:styleId="TematkomentarzaZnak">
    <w:name w:val="Temat komentarza Znak"/>
    <w:basedOn w:val="TekstkomentarzaZnak"/>
    <w:link w:val="Tematkomentarza"/>
    <w:uiPriority w:val="99"/>
    <w:semiHidden/>
    <w:rsid w:val="00CC3225"/>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04E7A-927C-4903-9D48-E37312C02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3804</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Richter</dc:creator>
  <cp:keywords/>
  <dc:description/>
  <cp:lastModifiedBy>Marta Kolada | Łukasiewicz – IMN</cp:lastModifiedBy>
  <cp:revision>3</cp:revision>
  <dcterms:created xsi:type="dcterms:W3CDTF">2024-07-26T14:16:00Z</dcterms:created>
  <dcterms:modified xsi:type="dcterms:W3CDTF">2024-08-01T10:54:00Z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-239712360</vt:i4>
  </property>
  <property fmtid="{D5CDD505-2E9C-101B-9397-08002B2CF9AE}" pid="4" name="_EmailSubject">
    <vt:lpwstr>ZP/G/52/24 - OCZYNNIKI  pakiet 2</vt:lpwstr>
  </property>
  <property fmtid="{D5CDD505-2E9C-101B-9397-08002B2CF9AE}" pid="5" name="_AuthorEmail">
    <vt:lpwstr>tomasz.wozniak@imn.lukasiewicz.gov.pl</vt:lpwstr>
  </property>
  <property fmtid="{D5CDD505-2E9C-101B-9397-08002B2CF9AE}" pid="6" name="_AuthorEmailDisplayName">
    <vt:lpwstr>Tomasz Woźniak | Łukasiewicz – IMN</vt:lpwstr>
  </property>
  <property fmtid="{D5CDD505-2E9C-101B-9397-08002B2CF9AE}" pid="7" name="_ReviewingToolsShownOnce">
    <vt:lpwstr/>
  </property>
</Properties>
</file>