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8130" w14:textId="3D40BEE8" w:rsidR="00C63705" w:rsidRDefault="00C63705" w:rsidP="00C63705">
      <w:r>
        <w:t>Dostawa pław nawigacyjnych z ekranem radarowym i oświetleniem aktywnym:</w:t>
      </w:r>
    </w:p>
    <w:p w14:paraId="57A9C8F5" w14:textId="77777777" w:rsidR="00C63705" w:rsidRDefault="00C63705" w:rsidP="00C63705"/>
    <w:p w14:paraId="278F3386" w14:textId="52096A8E" w:rsidR="00C63705" w:rsidRDefault="00C63705" w:rsidP="00C63705">
      <w:r>
        <w:t xml:space="preserve">- 700 mm czerwona ze znakiem szczytowym walcowym – 3 szt. </w:t>
      </w:r>
    </w:p>
    <w:p w14:paraId="3BB87153" w14:textId="56465106" w:rsidR="00C63705" w:rsidRDefault="00C63705" w:rsidP="00C63705">
      <w:r>
        <w:t xml:space="preserve">- 700 mm zielona ze znakiem szczytowym stożkowym – 3 szt. </w:t>
      </w:r>
    </w:p>
    <w:p w14:paraId="3E43993D" w14:textId="77777777" w:rsidR="00C63705" w:rsidRDefault="00C63705" w:rsidP="00C63705">
      <w:r>
        <w:t>- zestaw kotwiczny składający się z :</w:t>
      </w:r>
    </w:p>
    <w:p w14:paraId="27DA57C5" w14:textId="77777777" w:rsidR="00C63705" w:rsidRDefault="00C63705" w:rsidP="00C63705">
      <w:pPr>
        <w:ind w:firstLine="708"/>
      </w:pPr>
      <w:r>
        <w:t xml:space="preserve"> - łańcuch ocynkowany 5 mm,  8 </w:t>
      </w:r>
      <w:proofErr w:type="spellStart"/>
      <w:r>
        <w:t>mb</w:t>
      </w:r>
      <w:proofErr w:type="spellEnd"/>
    </w:p>
    <w:p w14:paraId="68F30E37" w14:textId="77777777" w:rsidR="00C63705" w:rsidRDefault="00C63705" w:rsidP="00C63705">
      <w:pPr>
        <w:ind w:firstLine="708"/>
      </w:pPr>
      <w:r>
        <w:t xml:space="preserve">-  krętlik i szekla </w:t>
      </w:r>
    </w:p>
    <w:p w14:paraId="103FD96D" w14:textId="53D5A593" w:rsidR="00C63705" w:rsidRDefault="00C63705" w:rsidP="00C63705">
      <w:pPr>
        <w:ind w:firstLine="708"/>
      </w:pPr>
      <w:r>
        <w:t xml:space="preserve">- martwa kotwica betonowa 100 kg – 6 szt.  </w:t>
      </w:r>
    </w:p>
    <w:p w14:paraId="56801131" w14:textId="77777777" w:rsidR="00A2253C" w:rsidRDefault="00A2253C" w:rsidP="00C63705">
      <w:pPr>
        <w:ind w:firstLine="708"/>
      </w:pPr>
    </w:p>
    <w:p w14:paraId="667FA793" w14:textId="77777777" w:rsidR="00A2253C" w:rsidRDefault="00A2253C" w:rsidP="00A2253C">
      <w:pPr>
        <w:shd w:val="clear" w:color="auto" w:fill="FFFFFF"/>
        <w:spacing w:before="100" w:beforeAutospacing="1" w:after="100" w:afterAutospacing="1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b/>
          <w:bCs/>
          <w:color w:val="111111"/>
          <w:sz w:val="23"/>
          <w:szCs w:val="23"/>
          <w:lang w:eastAsia="pl-PL"/>
          <w14:ligatures w14:val="none"/>
        </w:rPr>
        <w:t>Charakterystyka ogólna :</w:t>
      </w:r>
    </w:p>
    <w:p w14:paraId="4A4CA677" w14:textId="77777777" w:rsidR="00A2253C" w:rsidRDefault="00A2253C" w:rsidP="00A2253C">
      <w:pPr>
        <w:numPr>
          <w:ilvl w:val="0"/>
          <w:numId w:val="10"/>
        </w:numPr>
        <w:shd w:val="clear" w:color="auto" w:fill="FFFFFF"/>
        <w:ind w:left="960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zgodne z rozporządzeniem Ministra Infrastruktury z dnia 28 kwietnia 2003 r. w sprawie przepisów żeglugowych na śródlądowych drogach wodnych (Dz. U. Nr 212, poz. 2072),</w:t>
      </w:r>
    </w:p>
    <w:p w14:paraId="799B0AEE" w14:textId="77777777" w:rsidR="00A2253C" w:rsidRDefault="00A2253C" w:rsidP="00A2253C">
      <w:pPr>
        <w:numPr>
          <w:ilvl w:val="0"/>
          <w:numId w:val="10"/>
        </w:numPr>
        <w:shd w:val="clear" w:color="auto" w:fill="FFFFFF"/>
        <w:ind w:left="960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odporne na działanie czynników atmosferycznych, nie mogą ulegać odkształceniom, blaknąć i odbarwiać się,</w:t>
      </w:r>
    </w:p>
    <w:p w14:paraId="4BFF3549" w14:textId="77777777" w:rsidR="00A2253C" w:rsidRDefault="00A2253C" w:rsidP="00A2253C">
      <w:pPr>
        <w:numPr>
          <w:ilvl w:val="0"/>
          <w:numId w:val="10"/>
        </w:numPr>
        <w:shd w:val="clear" w:color="auto" w:fill="FFFFFF"/>
        <w:ind w:left="960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powierzchnia gładka, bez  rys, rozwarstwień i wybrzuszeń</w:t>
      </w:r>
    </w:p>
    <w:p w14:paraId="18AC0FDB" w14:textId="77777777" w:rsidR="00A2253C" w:rsidRDefault="00A2253C" w:rsidP="00A2253C">
      <w:pPr>
        <w:numPr>
          <w:ilvl w:val="0"/>
          <w:numId w:val="10"/>
        </w:numPr>
        <w:shd w:val="clear" w:color="auto" w:fill="FFFFFF"/>
        <w:ind w:left="960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pławy na wody płynące; planowana lokalizacja pław – Wisła, śródlądowa droga wodna II klasy oraz I klasy</w:t>
      </w:r>
    </w:p>
    <w:p w14:paraId="1BE91256" w14:textId="77777777" w:rsidR="00A2253C" w:rsidRDefault="00A2253C" w:rsidP="00A2253C">
      <w:pPr>
        <w:numPr>
          <w:ilvl w:val="0"/>
          <w:numId w:val="10"/>
        </w:numPr>
        <w:shd w:val="clear" w:color="auto" w:fill="FFFFFF"/>
        <w:ind w:left="960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b/>
          <w:bCs/>
          <w:color w:val="111111"/>
          <w:sz w:val="23"/>
          <w:szCs w:val="23"/>
          <w:lang w:eastAsia="pl-PL"/>
          <w14:ligatures w14:val="none"/>
        </w:rPr>
        <w:t>pławy wyposażone w aktywne oświetlenie nocne w postaci zestawów diod LED - zielone/czerwone zasilane panelami solarnymi z buforem w postaci akumulatora,</w:t>
      </w:r>
    </w:p>
    <w:p w14:paraId="5771358C" w14:textId="77777777" w:rsidR="00A2253C" w:rsidRDefault="00A2253C" w:rsidP="00A2253C">
      <w:pPr>
        <w:numPr>
          <w:ilvl w:val="0"/>
          <w:numId w:val="10"/>
        </w:numPr>
        <w:shd w:val="clear" w:color="auto" w:fill="FFFFFF"/>
        <w:ind w:left="960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pławy pokryte folią odblaskową III generacji (w przypadku pławy stożkowej/walcowej dopuszcza się zastosowanie folii odblaskowej jedynie w formie paska wokół tej pławy, przy czym szerokość paska nie może być mniejsza niż 150 mm;</w:t>
      </w:r>
    </w:p>
    <w:p w14:paraId="2D202091" w14:textId="77777777" w:rsidR="00A2253C" w:rsidRDefault="00A2253C" w:rsidP="00A2253C">
      <w:pPr>
        <w:numPr>
          <w:ilvl w:val="0"/>
          <w:numId w:val="10"/>
        </w:numPr>
        <w:shd w:val="clear" w:color="auto" w:fill="FFFFFF"/>
        <w:ind w:left="960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pławy tzw. niezatapialne, wypełnione styropianem,</w:t>
      </w:r>
    </w:p>
    <w:p w14:paraId="38CF3C57" w14:textId="77777777" w:rsidR="00A2253C" w:rsidRDefault="00A2253C" w:rsidP="00A2253C">
      <w:pPr>
        <w:numPr>
          <w:ilvl w:val="0"/>
          <w:numId w:val="10"/>
        </w:numPr>
        <w:shd w:val="clear" w:color="auto" w:fill="FFFFFF"/>
        <w:ind w:left="960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materiał wykonania pław: tworzywo sztuczne – polietylen (PE) min. 6 mm,</w:t>
      </w:r>
    </w:p>
    <w:p w14:paraId="1979B791" w14:textId="2708F34E" w:rsidR="00A2253C" w:rsidRPr="00A2253C" w:rsidRDefault="00A2253C" w:rsidP="00A2253C">
      <w:pPr>
        <w:numPr>
          <w:ilvl w:val="0"/>
          <w:numId w:val="10"/>
        </w:numPr>
        <w:shd w:val="clear" w:color="auto" w:fill="FFFFFF"/>
        <w:ind w:left="960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 w:rsidRPr="00A2253C"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masa całkowita jednej pławy: 30 – 50 kg (bez balastu),</w:t>
      </w:r>
    </w:p>
    <w:p w14:paraId="6D83ED7F" w14:textId="77777777" w:rsidR="00A2253C" w:rsidRDefault="00A2253C" w:rsidP="00A2253C">
      <w:pPr>
        <w:numPr>
          <w:ilvl w:val="0"/>
          <w:numId w:val="11"/>
        </w:numPr>
        <w:shd w:val="clear" w:color="auto" w:fill="FFFFFF"/>
        <w:ind w:left="960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każda z pław wyposażona w min. 2 uchwyty do podnoszenia,</w:t>
      </w:r>
    </w:p>
    <w:p w14:paraId="6AA3BAFB" w14:textId="26DF42C7" w:rsidR="00F81581" w:rsidRPr="00B70FB3" w:rsidRDefault="00F81581" w:rsidP="00A2253C">
      <w:pPr>
        <w:numPr>
          <w:ilvl w:val="0"/>
          <w:numId w:val="11"/>
        </w:numPr>
        <w:shd w:val="clear" w:color="auto" w:fill="FFFFFF"/>
        <w:ind w:left="960"/>
        <w:jc w:val="both"/>
        <w:rPr>
          <w:rFonts w:ascii="LatoRegular" w:hAnsi="LatoRegular"/>
          <w:color w:val="0D0D0D" w:themeColor="text1" w:themeTint="F2"/>
          <w:sz w:val="23"/>
          <w:szCs w:val="23"/>
          <w:lang w:eastAsia="pl-PL"/>
          <w14:ligatures w14:val="none"/>
        </w:rPr>
      </w:pPr>
      <w:r w:rsidRPr="00B70FB3">
        <w:rPr>
          <w:rFonts w:ascii="LatoRegular" w:hAnsi="LatoRegular"/>
          <w:color w:val="0D0D0D" w:themeColor="text1" w:themeTint="F2"/>
          <w:sz w:val="23"/>
          <w:szCs w:val="23"/>
          <w:lang w:eastAsia="pl-PL"/>
          <w14:ligatures w14:val="none"/>
        </w:rPr>
        <w:lastRenderedPageBreak/>
        <w:t>każda pława wyposażona w ekran radarowy</w:t>
      </w:r>
    </w:p>
    <w:p w14:paraId="793B0756" w14:textId="77777777" w:rsidR="00A2253C" w:rsidRDefault="00A2253C" w:rsidP="00A2253C">
      <w:pPr>
        <w:numPr>
          <w:ilvl w:val="0"/>
          <w:numId w:val="11"/>
        </w:numPr>
        <w:shd w:val="clear" w:color="auto" w:fill="FFFFFF"/>
        <w:ind w:left="960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każda pława wyposażona w uchwyt do kotwiczenia wraz z krętlikiem ze stali nierdzewnej min. fi 10, (typu np. widełki-widełki),</w:t>
      </w:r>
    </w:p>
    <w:p w14:paraId="68956527" w14:textId="77777777" w:rsidR="00A2253C" w:rsidRDefault="00A2253C" w:rsidP="00A2253C">
      <w:pPr>
        <w:numPr>
          <w:ilvl w:val="0"/>
          <w:numId w:val="11"/>
        </w:numPr>
        <w:shd w:val="clear" w:color="auto" w:fill="FFFFFF"/>
        <w:ind w:left="960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pławy wyposażone w balast (regulujący zanurzenie pławy),</w:t>
      </w:r>
    </w:p>
    <w:p w14:paraId="46566D32" w14:textId="77777777" w:rsidR="00A2253C" w:rsidRDefault="00A2253C" w:rsidP="00A2253C">
      <w:pPr>
        <w:numPr>
          <w:ilvl w:val="0"/>
          <w:numId w:val="12"/>
        </w:numPr>
        <w:shd w:val="clear" w:color="auto" w:fill="FFFFFF"/>
        <w:ind w:left="960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kolory, jakie powinny być zastosowane dla pław:</w:t>
      </w:r>
    </w:p>
    <w:p w14:paraId="7CA803CF" w14:textId="77777777" w:rsidR="00A2253C" w:rsidRDefault="00A2253C" w:rsidP="00A2253C">
      <w:pPr>
        <w:numPr>
          <w:ilvl w:val="1"/>
          <w:numId w:val="12"/>
        </w:numPr>
        <w:shd w:val="clear" w:color="auto" w:fill="FFFFFF"/>
        <w:ind w:left="1920" w:right="240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RAL 3024 lub RAL 3028 - kolor czerwony,</w:t>
      </w:r>
    </w:p>
    <w:p w14:paraId="54A70493" w14:textId="77777777" w:rsidR="00A2253C" w:rsidRDefault="00A2253C" w:rsidP="00A2253C">
      <w:pPr>
        <w:numPr>
          <w:ilvl w:val="1"/>
          <w:numId w:val="12"/>
        </w:numPr>
        <w:shd w:val="clear" w:color="auto" w:fill="FFFFFF"/>
        <w:ind w:left="1920" w:right="240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RAL 6037 lub RAL 6028 - kolor zielony.</w:t>
      </w:r>
    </w:p>
    <w:p w14:paraId="2667564B" w14:textId="77777777" w:rsidR="00A2253C" w:rsidRDefault="00A2253C" w:rsidP="00A2253C">
      <w:pPr>
        <w:shd w:val="clear" w:color="auto" w:fill="FFFFFF"/>
        <w:spacing w:before="100" w:beforeAutospacing="1" w:after="100" w:afterAutospacing="1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 </w:t>
      </w:r>
      <w:r>
        <w:rPr>
          <w:rFonts w:ascii="LatoRegular" w:hAnsi="LatoRegular"/>
          <w:b/>
          <w:bCs/>
          <w:color w:val="111111"/>
          <w:sz w:val="23"/>
          <w:szCs w:val="23"/>
          <w:lang w:eastAsia="pl-PL"/>
          <w14:ligatures w14:val="none"/>
        </w:rPr>
        <w:t>Charakterystyka szczegółowa:</w:t>
      </w:r>
    </w:p>
    <w:p w14:paraId="65663B62" w14:textId="77777777" w:rsidR="00A2253C" w:rsidRDefault="00A2253C" w:rsidP="00A2253C">
      <w:pPr>
        <w:shd w:val="clear" w:color="auto" w:fill="FFFFFF"/>
        <w:spacing w:before="100" w:beforeAutospacing="1" w:after="100" w:afterAutospacing="1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Znak  – prawa i lewa granica szlaku</w:t>
      </w:r>
    </w:p>
    <w:p w14:paraId="1E010B06" w14:textId="77777777" w:rsidR="00A2253C" w:rsidRDefault="00A2253C" w:rsidP="00A2253C">
      <w:pPr>
        <w:numPr>
          <w:ilvl w:val="0"/>
          <w:numId w:val="13"/>
        </w:numPr>
        <w:shd w:val="clear" w:color="auto" w:fill="FFFFFF"/>
        <w:ind w:left="960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prawa granica-&gt; pława walcowa lub pława ze znakiem górnym w formie walca z aktywnym oświetleniem nocnym typu LED; kolor pławy: czerwony,</w:t>
      </w:r>
    </w:p>
    <w:p w14:paraId="2910B8A7" w14:textId="77777777" w:rsidR="00A2253C" w:rsidRDefault="00A2253C" w:rsidP="00A2253C">
      <w:pPr>
        <w:numPr>
          <w:ilvl w:val="0"/>
          <w:numId w:val="13"/>
        </w:numPr>
        <w:shd w:val="clear" w:color="auto" w:fill="FFFFFF"/>
        <w:ind w:left="960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proofErr w:type="spellStart"/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lewa_granica</w:t>
      </w:r>
      <w:proofErr w:type="spellEnd"/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-&gt;</w:t>
      </w:r>
      <w:proofErr w:type="spellStart"/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pława_ze_znakiem_górnym_w_formie_stożka</w:t>
      </w:r>
      <w:proofErr w:type="spellEnd"/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 xml:space="preserve"> z aktywnym oświetleniem nocnym typu LED; kolor pławy: zielony,</w:t>
      </w:r>
    </w:p>
    <w:p w14:paraId="01889F7C" w14:textId="77777777" w:rsidR="00A2253C" w:rsidRDefault="00A2253C" w:rsidP="00A2253C">
      <w:pPr>
        <w:numPr>
          <w:ilvl w:val="0"/>
          <w:numId w:val="14"/>
        </w:numPr>
        <w:shd w:val="clear" w:color="auto" w:fill="FFFFFF"/>
        <w:ind w:left="960"/>
        <w:jc w:val="both"/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color w:val="111111"/>
          <w:sz w:val="23"/>
          <w:szCs w:val="23"/>
          <w:lang w:eastAsia="pl-PL"/>
          <w14:ligatures w14:val="none"/>
        </w:rPr>
        <w:t>średnica całkowita pławy: 680 mm – 800 mm (bez uwzględnienia uchwytów),</w:t>
      </w:r>
    </w:p>
    <w:p w14:paraId="715B1017" w14:textId="308D2FA7" w:rsidR="00A2253C" w:rsidRPr="00515F2D" w:rsidRDefault="00A2253C" w:rsidP="00A2253C">
      <w:pPr>
        <w:numPr>
          <w:ilvl w:val="0"/>
          <w:numId w:val="14"/>
        </w:numPr>
        <w:shd w:val="clear" w:color="auto" w:fill="FFFFFF"/>
        <w:ind w:left="960"/>
        <w:jc w:val="both"/>
        <w:rPr>
          <w:rFonts w:ascii="LatoRegular" w:hAnsi="LatoRegular"/>
          <w:strike/>
          <w:color w:val="0D0D0D" w:themeColor="text1" w:themeTint="F2"/>
          <w:sz w:val="23"/>
          <w:szCs w:val="23"/>
          <w:lang w:eastAsia="pl-PL"/>
          <w14:ligatures w14:val="none"/>
        </w:rPr>
      </w:pPr>
      <w:r w:rsidRPr="00B70FB3">
        <w:rPr>
          <w:rFonts w:ascii="LatoRegular" w:hAnsi="LatoRegular"/>
          <w:color w:val="0D0D0D" w:themeColor="text1" w:themeTint="F2"/>
          <w:sz w:val="23"/>
          <w:szCs w:val="23"/>
          <w:lang w:eastAsia="pl-PL"/>
          <w14:ligatures w14:val="none"/>
        </w:rPr>
        <w:t xml:space="preserve">wysokość pławy ponad zwierciadło wody: 800 – 1450 mm; </w:t>
      </w:r>
    </w:p>
    <w:p w14:paraId="3C4985EE" w14:textId="77777777" w:rsidR="00515F2D" w:rsidRDefault="00515F2D" w:rsidP="00515F2D">
      <w:pPr>
        <w:shd w:val="clear" w:color="auto" w:fill="FFFFFF"/>
        <w:jc w:val="both"/>
        <w:rPr>
          <w:rFonts w:ascii="LatoRegular" w:hAnsi="LatoRegular"/>
          <w:color w:val="0D0D0D" w:themeColor="text1" w:themeTint="F2"/>
          <w:sz w:val="23"/>
          <w:szCs w:val="23"/>
          <w:lang w:eastAsia="pl-PL"/>
          <w14:ligatures w14:val="none"/>
        </w:rPr>
      </w:pPr>
    </w:p>
    <w:p w14:paraId="08C76ACD" w14:textId="3BEF6B3D" w:rsidR="00515F2D" w:rsidRDefault="00281912" w:rsidP="00515F2D">
      <w:pPr>
        <w:shd w:val="clear" w:color="auto" w:fill="FFFFFF"/>
        <w:jc w:val="both"/>
        <w:rPr>
          <w:rFonts w:ascii="LatoRegular" w:hAnsi="LatoRegular"/>
          <w:color w:val="0D0D0D" w:themeColor="text1" w:themeTint="F2"/>
          <w:sz w:val="23"/>
          <w:szCs w:val="23"/>
          <w:lang w:eastAsia="pl-PL"/>
          <w14:ligatures w14:val="none"/>
        </w:rPr>
      </w:pPr>
      <w:r>
        <w:rPr>
          <w:rFonts w:ascii="LatoRegular" w:hAnsi="LatoRegular"/>
          <w:b/>
          <w:bCs/>
          <w:color w:val="0D0D0D" w:themeColor="text1" w:themeTint="F2"/>
          <w:sz w:val="23"/>
          <w:szCs w:val="23"/>
          <w:lang w:eastAsia="pl-PL"/>
          <w14:ligatures w14:val="none"/>
        </w:rPr>
        <w:t xml:space="preserve">Wymagana </w:t>
      </w:r>
      <w:r w:rsidR="00515F2D" w:rsidRPr="00515F2D">
        <w:rPr>
          <w:rFonts w:ascii="LatoRegular" w:hAnsi="LatoRegular"/>
          <w:b/>
          <w:bCs/>
          <w:color w:val="0D0D0D" w:themeColor="text1" w:themeTint="F2"/>
          <w:sz w:val="23"/>
          <w:szCs w:val="23"/>
          <w:lang w:eastAsia="pl-PL"/>
          <w14:ligatures w14:val="none"/>
        </w:rPr>
        <w:t>dokumentacja techniczna:</w:t>
      </w:r>
      <w:r w:rsidR="00515F2D" w:rsidRPr="00515F2D">
        <w:rPr>
          <w:rFonts w:ascii="LatoRegular" w:hAnsi="LatoRegular"/>
          <w:color w:val="0D0D0D" w:themeColor="text1" w:themeTint="F2"/>
          <w:sz w:val="23"/>
          <w:szCs w:val="23"/>
          <w:lang w:eastAsia="pl-PL"/>
          <w14:ligatures w14:val="none"/>
        </w:rPr>
        <w:t xml:space="preserve"> </w:t>
      </w:r>
      <w:r>
        <w:rPr>
          <w:rFonts w:ascii="LatoRegular" w:hAnsi="LatoRegular"/>
          <w:color w:val="0D0D0D" w:themeColor="text1" w:themeTint="F2"/>
          <w:sz w:val="23"/>
          <w:szCs w:val="23"/>
          <w:lang w:eastAsia="pl-PL"/>
          <w14:ligatures w14:val="none"/>
        </w:rPr>
        <w:t xml:space="preserve">instrukcja </w:t>
      </w:r>
      <w:r w:rsidR="00515F2D" w:rsidRPr="00515F2D">
        <w:rPr>
          <w:rFonts w:ascii="LatoRegular" w:hAnsi="LatoRegular"/>
          <w:color w:val="0D0D0D" w:themeColor="text1" w:themeTint="F2"/>
          <w:sz w:val="23"/>
          <w:szCs w:val="23"/>
          <w:lang w:eastAsia="pl-PL"/>
          <w14:ligatures w14:val="none"/>
        </w:rPr>
        <w:t>eksploatacyjn</w:t>
      </w:r>
      <w:r>
        <w:rPr>
          <w:rFonts w:ascii="LatoRegular" w:hAnsi="LatoRegular"/>
          <w:color w:val="0D0D0D" w:themeColor="text1" w:themeTint="F2"/>
          <w:sz w:val="23"/>
          <w:szCs w:val="23"/>
          <w:lang w:eastAsia="pl-PL"/>
          <w14:ligatures w14:val="none"/>
        </w:rPr>
        <w:t>a i karta katalogowa</w:t>
      </w:r>
    </w:p>
    <w:p w14:paraId="272C4594" w14:textId="77777777" w:rsidR="00664A0C" w:rsidRDefault="00664A0C" w:rsidP="00515F2D">
      <w:pPr>
        <w:shd w:val="clear" w:color="auto" w:fill="FFFFFF"/>
        <w:jc w:val="both"/>
        <w:rPr>
          <w:rFonts w:ascii="LatoRegular" w:hAnsi="LatoRegular"/>
          <w:color w:val="0D0D0D" w:themeColor="text1" w:themeTint="F2"/>
          <w:sz w:val="23"/>
          <w:szCs w:val="23"/>
          <w:lang w:eastAsia="pl-PL"/>
          <w14:ligatures w14:val="none"/>
        </w:rPr>
      </w:pPr>
    </w:p>
    <w:p w14:paraId="10FA7944" w14:textId="2F677698" w:rsidR="00664A0C" w:rsidRPr="00664A0C" w:rsidRDefault="00664A0C" w:rsidP="00515F2D">
      <w:pPr>
        <w:shd w:val="clear" w:color="auto" w:fill="FFFFFF"/>
        <w:jc w:val="both"/>
        <w:rPr>
          <w:rFonts w:ascii="LatoRegular" w:hAnsi="LatoRegular"/>
          <w:b/>
          <w:bCs/>
          <w:color w:val="0D0D0D" w:themeColor="text1" w:themeTint="F2"/>
          <w:sz w:val="23"/>
          <w:szCs w:val="23"/>
          <w:lang w:eastAsia="pl-PL"/>
          <w14:ligatures w14:val="none"/>
        </w:rPr>
      </w:pPr>
      <w:r w:rsidRPr="00664A0C">
        <w:rPr>
          <w:rFonts w:ascii="LatoRegular" w:hAnsi="LatoRegular"/>
          <w:b/>
          <w:bCs/>
          <w:color w:val="0D0D0D" w:themeColor="text1" w:themeTint="F2"/>
          <w:sz w:val="23"/>
          <w:szCs w:val="23"/>
          <w:lang w:eastAsia="pl-PL"/>
          <w14:ligatures w14:val="none"/>
        </w:rPr>
        <w:t xml:space="preserve">Termin dostawy: </w:t>
      </w:r>
      <w:r w:rsidRPr="00664A0C">
        <w:rPr>
          <w:rFonts w:ascii="LatoRegular" w:hAnsi="LatoRegular"/>
          <w:color w:val="0D0D0D" w:themeColor="text1" w:themeTint="F2"/>
          <w:sz w:val="23"/>
          <w:szCs w:val="23"/>
          <w:lang w:eastAsia="pl-PL"/>
          <w14:ligatures w14:val="none"/>
        </w:rPr>
        <w:t>4 tygodnie od dnia zaksięgowania zaliczki</w:t>
      </w:r>
    </w:p>
    <w:p w14:paraId="3437E6DE" w14:textId="77777777" w:rsidR="00094BB6" w:rsidRDefault="00094BB6" w:rsidP="00094BB6">
      <w:pPr>
        <w:shd w:val="clear" w:color="auto" w:fill="FFFFFF"/>
        <w:jc w:val="both"/>
        <w:rPr>
          <w:rFonts w:ascii="LatoRegular" w:hAnsi="LatoRegular"/>
          <w:color w:val="0D0D0D" w:themeColor="text1" w:themeTint="F2"/>
          <w:sz w:val="23"/>
          <w:szCs w:val="23"/>
          <w:lang w:eastAsia="pl-PL"/>
          <w14:ligatures w14:val="none"/>
        </w:rPr>
      </w:pPr>
    </w:p>
    <w:p w14:paraId="362A4A0D" w14:textId="74EECB04" w:rsidR="00094BB6" w:rsidRPr="00B70FB3" w:rsidRDefault="00094BB6" w:rsidP="00094BB6">
      <w:pPr>
        <w:shd w:val="clear" w:color="auto" w:fill="FFFFFF"/>
        <w:jc w:val="both"/>
        <w:rPr>
          <w:rFonts w:ascii="LatoRegular" w:hAnsi="LatoRegular"/>
          <w:strike/>
          <w:color w:val="0D0D0D" w:themeColor="text1" w:themeTint="F2"/>
          <w:sz w:val="23"/>
          <w:szCs w:val="23"/>
          <w:lang w:eastAsia="pl-PL"/>
          <w14:ligatures w14:val="none"/>
        </w:rPr>
      </w:pPr>
      <w:r w:rsidRPr="00094BB6">
        <w:rPr>
          <w:rFonts w:ascii="LatoRegular" w:hAnsi="LatoRegular"/>
          <w:b/>
          <w:bCs/>
          <w:color w:val="0D0D0D" w:themeColor="text1" w:themeTint="F2"/>
          <w:sz w:val="23"/>
          <w:szCs w:val="23"/>
          <w:lang w:eastAsia="pl-PL"/>
          <w14:ligatures w14:val="none"/>
        </w:rPr>
        <w:t>Minimalna gwarancja:</w:t>
      </w:r>
      <w:r>
        <w:rPr>
          <w:rFonts w:ascii="LatoRegular" w:hAnsi="LatoRegular"/>
          <w:color w:val="0D0D0D" w:themeColor="text1" w:themeTint="F2"/>
          <w:sz w:val="23"/>
          <w:szCs w:val="23"/>
          <w:lang w:eastAsia="pl-PL"/>
          <w14:ligatures w14:val="none"/>
        </w:rPr>
        <w:t xml:space="preserve"> 12 miesięcy</w:t>
      </w:r>
    </w:p>
    <w:p w14:paraId="16E42ADD" w14:textId="77777777" w:rsidR="00A2253C" w:rsidRDefault="00A2253C" w:rsidP="00C63705">
      <w:pPr>
        <w:ind w:firstLine="708"/>
      </w:pPr>
    </w:p>
    <w:p w14:paraId="71DEA147" w14:textId="3CDC05D6" w:rsidR="0031376A" w:rsidRPr="008F78F2" w:rsidRDefault="0031376A" w:rsidP="005C25A8">
      <w:pPr>
        <w:jc w:val="both"/>
      </w:pPr>
    </w:p>
    <w:sectPr w:rsidR="0031376A" w:rsidRPr="008F7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B379" w14:textId="77777777" w:rsidR="002D5ACC" w:rsidRDefault="002D5ACC" w:rsidP="00E85893">
      <w:r>
        <w:separator/>
      </w:r>
    </w:p>
  </w:endnote>
  <w:endnote w:type="continuationSeparator" w:id="0">
    <w:p w14:paraId="5B71D647" w14:textId="77777777" w:rsidR="002D5ACC" w:rsidRDefault="002D5ACC" w:rsidP="00E8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atoRegular">
    <w:altName w:val="Lato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81C7" w14:textId="77777777" w:rsidR="006D24B5" w:rsidRDefault="006D24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AD9" w14:textId="77777777" w:rsidR="006D24B5" w:rsidRDefault="006D24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4F0E" w14:textId="77777777" w:rsidR="006D24B5" w:rsidRDefault="006D2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02EF" w14:textId="77777777" w:rsidR="002D5ACC" w:rsidRDefault="002D5ACC" w:rsidP="00E85893">
      <w:r>
        <w:separator/>
      </w:r>
    </w:p>
  </w:footnote>
  <w:footnote w:type="continuationSeparator" w:id="0">
    <w:p w14:paraId="2EEAFDB1" w14:textId="77777777" w:rsidR="002D5ACC" w:rsidRDefault="002D5ACC" w:rsidP="00E8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9A5D" w14:textId="77777777" w:rsidR="006D24B5" w:rsidRDefault="006D24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E141" w14:textId="77777777" w:rsidR="00AB7476" w:rsidRDefault="00AB7476" w:rsidP="00AB7476">
    <w:pPr>
      <w:rPr>
        <w:noProof/>
        <w:lang w:val="en-US"/>
      </w:rPr>
    </w:pPr>
  </w:p>
  <w:p w14:paraId="3DFB7991" w14:textId="6739F34D" w:rsidR="00AB7476" w:rsidRPr="00AB7476" w:rsidRDefault="00C63705" w:rsidP="00AB7476">
    <w:pPr>
      <w:tabs>
        <w:tab w:val="center" w:pos="4536"/>
        <w:tab w:val="right" w:pos="9072"/>
      </w:tabs>
      <w:jc w:val="both"/>
      <w:rPr>
        <w:rFonts w:ascii="Verdana" w:eastAsia="Times New Roman" w:hAnsi="Verdana" w:cs="Times New Roman"/>
        <w:sz w:val="20"/>
        <w:szCs w:val="20"/>
        <w:lang w:eastAsia="pl-PL"/>
      </w:rPr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2189C947" wp14:editId="0AEDFE1A">
          <wp:extent cx="742950" cy="1276350"/>
          <wp:effectExtent l="0" t="0" r="0" b="0"/>
          <wp:docPr id="19889273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3822B" w14:textId="77777777" w:rsidR="00AB7476" w:rsidRPr="00AB7476" w:rsidRDefault="00AB7476" w:rsidP="00AB7476">
    <w:pPr>
      <w:tabs>
        <w:tab w:val="center" w:pos="4536"/>
        <w:tab w:val="right" w:pos="9072"/>
      </w:tabs>
      <w:jc w:val="both"/>
      <w:rPr>
        <w:rFonts w:ascii="Verdana" w:eastAsia="Times New Roman" w:hAnsi="Verdana" w:cs="Times New Roman"/>
        <w:sz w:val="20"/>
        <w:szCs w:val="20"/>
        <w:lang w:eastAsia="pl-PL"/>
      </w:rPr>
    </w:pPr>
  </w:p>
  <w:p w14:paraId="76C11023" w14:textId="77777777" w:rsidR="006D24B5" w:rsidRPr="0018749C" w:rsidRDefault="006D24B5" w:rsidP="006D24B5">
    <w:pPr>
      <w:tabs>
        <w:tab w:val="center" w:pos="4536"/>
        <w:tab w:val="right" w:pos="9072"/>
      </w:tabs>
      <w:spacing w:before="100"/>
      <w:jc w:val="both"/>
      <w:rPr>
        <w:rFonts w:ascii="Verdana" w:hAnsi="Verdana"/>
        <w:sz w:val="20"/>
        <w:szCs w:val="20"/>
      </w:rPr>
    </w:pPr>
    <w:r w:rsidRPr="0018749C">
      <w:rPr>
        <w:rFonts w:ascii="Verdana" w:hAnsi="Verdana"/>
        <w:sz w:val="20"/>
        <w:szCs w:val="20"/>
      </w:rPr>
      <w:t xml:space="preserve">ZOF B+R/00007/2024 </w:t>
    </w:r>
    <w:bookmarkStart w:id="0" w:name="_Hlk163478693"/>
    <w:r w:rsidRPr="0018749C">
      <w:rPr>
        <w:rFonts w:ascii="Verdana" w:hAnsi="Verdana"/>
        <w:sz w:val="20"/>
        <w:szCs w:val="20"/>
      </w:rPr>
      <w:t>Dostawa pław nawigacyjnych z zestawami kotwicznymi</w:t>
    </w:r>
    <w:bookmarkEnd w:id="0"/>
  </w:p>
  <w:p w14:paraId="4FD582C9" w14:textId="77777777" w:rsidR="00AB7476" w:rsidRPr="00AB7476" w:rsidRDefault="00AB7476" w:rsidP="00AB7476">
    <w:pPr>
      <w:rPr>
        <w:noProof/>
      </w:rPr>
    </w:pPr>
  </w:p>
  <w:p w14:paraId="2BBD8AFD" w14:textId="77777777" w:rsidR="00AB7476" w:rsidRPr="00AB7476" w:rsidRDefault="00AB7476" w:rsidP="00AB7476">
    <w:pPr>
      <w:rPr>
        <w:noProof/>
      </w:rPr>
    </w:pPr>
  </w:p>
  <w:p w14:paraId="5507734D" w14:textId="4D074A63" w:rsidR="00AB7476" w:rsidRDefault="00AB7476" w:rsidP="00AB7476">
    <w:pPr>
      <w:rPr>
        <w:noProof/>
        <w:lang w:val="en-US"/>
      </w:rPr>
    </w:pPr>
    <w:r>
      <w:rPr>
        <w:rFonts w:ascii="Segoe UI" w:hAnsi="Segoe UI" w:cs="Segoe UI"/>
        <w:noProof/>
        <w:color w:val="333333"/>
        <w:sz w:val="18"/>
        <w:szCs w:val="18"/>
        <w:shd w:val="clear" w:color="auto" w:fill="FFFFFF"/>
      </w:rPr>
      <w:drawing>
        <wp:inline distT="0" distB="0" distL="0" distR="0" wp14:anchorId="15B14AFE" wp14:editId="4D96A3BA">
          <wp:extent cx="611208" cy="581025"/>
          <wp:effectExtent l="0" t="0" r="0" b="0"/>
          <wp:docPr id="104856250" name="Obraz 4" descr="Obraz zawierający Grafika, Czcion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032768" name="Obraz 4" descr="Obraz zawierający Grafika, Czcion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3" cy="58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721C16" wp14:editId="47AC4219">
          <wp:extent cx="2808946" cy="592081"/>
          <wp:effectExtent l="0" t="0" r="0" b="0"/>
          <wp:docPr id="1983630132" name="Obraz 6" descr="Ein Bild, das Screenshot, Electric Blue (Farbe), Schrift, Majorelle Blue enthält.&#10;&#10;Beschreibung automatisch generie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in Bild, das Screenshot, Electric Blue (Farbe), Schrift, Majorelle Blue enthält.&#10;&#10;Beschreibung automatisch generiert.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27" cy="60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A6498" w14:textId="77777777" w:rsidR="00AB7476" w:rsidRDefault="00AB7476" w:rsidP="00AB7476">
    <w:pPr>
      <w:rPr>
        <w:noProof/>
        <w:lang w:val="en-US"/>
      </w:rPr>
    </w:pPr>
  </w:p>
  <w:p w14:paraId="4D33BE2C" w14:textId="19DF3A40" w:rsidR="00AB7476" w:rsidRDefault="00AB7476" w:rsidP="00AB7476">
    <w:pPr>
      <w:rPr>
        <w:noProof/>
        <w:lang w:val="en-US"/>
      </w:rPr>
    </w:pPr>
    <w:r w:rsidRPr="000A6D42">
      <w:rPr>
        <w:noProof/>
        <w:lang w:val="en-US"/>
      </w:rPr>
      <w:t>Projekt 101069838 – CRISTAL: Climate resilient and environmentally sustainable transport infrastructure with a focus on inland waterways</w:t>
    </w:r>
  </w:p>
  <w:p w14:paraId="3F93DA94" w14:textId="77777777" w:rsidR="00AB7476" w:rsidRDefault="00AB7476" w:rsidP="00AB7476">
    <w:pPr>
      <w:rPr>
        <w:noProof/>
        <w:lang w:val="en-US"/>
      </w:rPr>
    </w:pPr>
  </w:p>
  <w:p w14:paraId="61B94EF2" w14:textId="07BA8FEA" w:rsidR="00AB7476" w:rsidRPr="00AB7476" w:rsidRDefault="00AB7476" w:rsidP="00AB7476">
    <w:r w:rsidRPr="00AB7476">
      <w:rPr>
        <w:noProof/>
      </w:rPr>
      <w:t>Załącznik nr 2 – Opis przedmiotu z</w:t>
    </w:r>
    <w:r>
      <w:rPr>
        <w:noProof/>
      </w:rPr>
      <w:t>amówienia</w:t>
    </w:r>
  </w:p>
  <w:p w14:paraId="77C011FE" w14:textId="77777777" w:rsidR="00AB7476" w:rsidRPr="00AB7476" w:rsidRDefault="00AB74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7513" w14:textId="77777777" w:rsidR="006D24B5" w:rsidRDefault="006D2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22C1"/>
    <w:multiLevelType w:val="hybridMultilevel"/>
    <w:tmpl w:val="CEAC2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4ACA"/>
    <w:multiLevelType w:val="multilevel"/>
    <w:tmpl w:val="C166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72BE4"/>
    <w:multiLevelType w:val="multilevel"/>
    <w:tmpl w:val="21EA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B28A5"/>
    <w:multiLevelType w:val="multilevel"/>
    <w:tmpl w:val="0ED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82E9C"/>
    <w:multiLevelType w:val="hybridMultilevel"/>
    <w:tmpl w:val="99B8A1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734572"/>
    <w:multiLevelType w:val="hybridMultilevel"/>
    <w:tmpl w:val="2AFEC754"/>
    <w:lvl w:ilvl="0" w:tplc="8026B01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524E1"/>
    <w:multiLevelType w:val="hybridMultilevel"/>
    <w:tmpl w:val="43D8080E"/>
    <w:lvl w:ilvl="0" w:tplc="7400A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C47A9B"/>
    <w:multiLevelType w:val="hybridMultilevel"/>
    <w:tmpl w:val="6AB07C4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21F99"/>
    <w:multiLevelType w:val="hybridMultilevel"/>
    <w:tmpl w:val="B4547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A0012"/>
    <w:multiLevelType w:val="hybridMultilevel"/>
    <w:tmpl w:val="DD4EA7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3854B7"/>
    <w:multiLevelType w:val="multilevel"/>
    <w:tmpl w:val="9658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F7592A"/>
    <w:multiLevelType w:val="hybridMultilevel"/>
    <w:tmpl w:val="DFC06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765E6"/>
    <w:multiLevelType w:val="multilevel"/>
    <w:tmpl w:val="EB22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082590"/>
    <w:multiLevelType w:val="hybridMultilevel"/>
    <w:tmpl w:val="86025A1A"/>
    <w:lvl w:ilvl="0" w:tplc="3B4C5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5665632">
    <w:abstractNumId w:val="5"/>
  </w:num>
  <w:num w:numId="2" w16cid:durableId="483812940">
    <w:abstractNumId w:val="6"/>
  </w:num>
  <w:num w:numId="3" w16cid:durableId="1899196759">
    <w:abstractNumId w:val="8"/>
  </w:num>
  <w:num w:numId="4" w16cid:durableId="1488479233">
    <w:abstractNumId w:val="4"/>
  </w:num>
  <w:num w:numId="5" w16cid:durableId="1832210418">
    <w:abstractNumId w:val="7"/>
  </w:num>
  <w:num w:numId="6" w16cid:durableId="1428575024">
    <w:abstractNumId w:val="13"/>
  </w:num>
  <w:num w:numId="7" w16cid:durableId="1498616375">
    <w:abstractNumId w:val="11"/>
  </w:num>
  <w:num w:numId="8" w16cid:durableId="96096980">
    <w:abstractNumId w:val="0"/>
  </w:num>
  <w:num w:numId="9" w16cid:durableId="1845314590">
    <w:abstractNumId w:val="9"/>
  </w:num>
  <w:num w:numId="10" w16cid:durableId="549000164">
    <w:abstractNumId w:val="2"/>
  </w:num>
  <w:num w:numId="11" w16cid:durableId="1425808938">
    <w:abstractNumId w:val="12"/>
  </w:num>
  <w:num w:numId="12" w16cid:durableId="962151584">
    <w:abstractNumId w:val="1"/>
  </w:num>
  <w:num w:numId="13" w16cid:durableId="1917863225">
    <w:abstractNumId w:val="10"/>
  </w:num>
  <w:num w:numId="14" w16cid:durableId="1611008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D6"/>
    <w:rsid w:val="00005130"/>
    <w:rsid w:val="0002620E"/>
    <w:rsid w:val="00033EED"/>
    <w:rsid w:val="00045FD4"/>
    <w:rsid w:val="00094BB6"/>
    <w:rsid w:val="000A1A01"/>
    <w:rsid w:val="000D16E4"/>
    <w:rsid w:val="000F620F"/>
    <w:rsid w:val="0012402D"/>
    <w:rsid w:val="0013549D"/>
    <w:rsid w:val="00136A26"/>
    <w:rsid w:val="00197F6F"/>
    <w:rsid w:val="001A4382"/>
    <w:rsid w:val="001A4833"/>
    <w:rsid w:val="001B22E4"/>
    <w:rsid w:val="001D1560"/>
    <w:rsid w:val="001F50DD"/>
    <w:rsid w:val="00212C83"/>
    <w:rsid w:val="0022230A"/>
    <w:rsid w:val="002424A1"/>
    <w:rsid w:val="002507C9"/>
    <w:rsid w:val="00281912"/>
    <w:rsid w:val="002B7A83"/>
    <w:rsid w:val="002D5ACC"/>
    <w:rsid w:val="0031376A"/>
    <w:rsid w:val="00327289"/>
    <w:rsid w:val="00333ED7"/>
    <w:rsid w:val="003861E4"/>
    <w:rsid w:val="003A4069"/>
    <w:rsid w:val="003C6475"/>
    <w:rsid w:val="00406CA7"/>
    <w:rsid w:val="00413ECF"/>
    <w:rsid w:val="00441534"/>
    <w:rsid w:val="00444F62"/>
    <w:rsid w:val="00452C96"/>
    <w:rsid w:val="00457BA8"/>
    <w:rsid w:val="00475640"/>
    <w:rsid w:val="00480115"/>
    <w:rsid w:val="0048346A"/>
    <w:rsid w:val="004C4EA4"/>
    <w:rsid w:val="004D1A8F"/>
    <w:rsid w:val="00513137"/>
    <w:rsid w:val="00515F2D"/>
    <w:rsid w:val="00526DCB"/>
    <w:rsid w:val="00534E3E"/>
    <w:rsid w:val="00554217"/>
    <w:rsid w:val="00565D3B"/>
    <w:rsid w:val="00576326"/>
    <w:rsid w:val="005A7A3F"/>
    <w:rsid w:val="005C0AC9"/>
    <w:rsid w:val="005C25A8"/>
    <w:rsid w:val="005C6D56"/>
    <w:rsid w:val="006158F2"/>
    <w:rsid w:val="006515F8"/>
    <w:rsid w:val="006532CF"/>
    <w:rsid w:val="00654F0A"/>
    <w:rsid w:val="00662551"/>
    <w:rsid w:val="00664A0C"/>
    <w:rsid w:val="006736A2"/>
    <w:rsid w:val="006C3B08"/>
    <w:rsid w:val="006D24B5"/>
    <w:rsid w:val="00727A6A"/>
    <w:rsid w:val="00733728"/>
    <w:rsid w:val="00741135"/>
    <w:rsid w:val="00746896"/>
    <w:rsid w:val="00757C7A"/>
    <w:rsid w:val="00796139"/>
    <w:rsid w:val="007A2C93"/>
    <w:rsid w:val="007B5D5D"/>
    <w:rsid w:val="007C7430"/>
    <w:rsid w:val="007F48E2"/>
    <w:rsid w:val="00807FD6"/>
    <w:rsid w:val="00823ABD"/>
    <w:rsid w:val="00860D05"/>
    <w:rsid w:val="008624A8"/>
    <w:rsid w:val="0086479B"/>
    <w:rsid w:val="008742A8"/>
    <w:rsid w:val="00895716"/>
    <w:rsid w:val="008A034A"/>
    <w:rsid w:val="008D7896"/>
    <w:rsid w:val="008D7DB6"/>
    <w:rsid w:val="008F78F2"/>
    <w:rsid w:val="0097140E"/>
    <w:rsid w:val="009A2345"/>
    <w:rsid w:val="009A6917"/>
    <w:rsid w:val="009D19F3"/>
    <w:rsid w:val="009F0791"/>
    <w:rsid w:val="00A01C4E"/>
    <w:rsid w:val="00A2253C"/>
    <w:rsid w:val="00A535AE"/>
    <w:rsid w:val="00AA282D"/>
    <w:rsid w:val="00AB7476"/>
    <w:rsid w:val="00AD07F1"/>
    <w:rsid w:val="00AD603E"/>
    <w:rsid w:val="00AF172C"/>
    <w:rsid w:val="00B158DB"/>
    <w:rsid w:val="00B56CB8"/>
    <w:rsid w:val="00B672B1"/>
    <w:rsid w:val="00B70FB3"/>
    <w:rsid w:val="00B86193"/>
    <w:rsid w:val="00B9625A"/>
    <w:rsid w:val="00C02CEE"/>
    <w:rsid w:val="00C14DE2"/>
    <w:rsid w:val="00C222C3"/>
    <w:rsid w:val="00C31A19"/>
    <w:rsid w:val="00C3248D"/>
    <w:rsid w:val="00C606DD"/>
    <w:rsid w:val="00C63705"/>
    <w:rsid w:val="00C77553"/>
    <w:rsid w:val="00C867C9"/>
    <w:rsid w:val="00CE5C98"/>
    <w:rsid w:val="00D01041"/>
    <w:rsid w:val="00D07600"/>
    <w:rsid w:val="00D2110B"/>
    <w:rsid w:val="00D42661"/>
    <w:rsid w:val="00E75CE7"/>
    <w:rsid w:val="00E77145"/>
    <w:rsid w:val="00E83DCA"/>
    <w:rsid w:val="00E850BC"/>
    <w:rsid w:val="00E85893"/>
    <w:rsid w:val="00EA0275"/>
    <w:rsid w:val="00ED262E"/>
    <w:rsid w:val="00F16A87"/>
    <w:rsid w:val="00F20284"/>
    <w:rsid w:val="00F57168"/>
    <w:rsid w:val="00F632B4"/>
    <w:rsid w:val="00F779CF"/>
    <w:rsid w:val="00F81581"/>
    <w:rsid w:val="00F87064"/>
    <w:rsid w:val="00FC0311"/>
    <w:rsid w:val="00FC2A72"/>
    <w:rsid w:val="00FC39B9"/>
    <w:rsid w:val="00FD49A4"/>
    <w:rsid w:val="04779707"/>
    <w:rsid w:val="048C9084"/>
    <w:rsid w:val="051F5192"/>
    <w:rsid w:val="0F216B76"/>
    <w:rsid w:val="1003BF0A"/>
    <w:rsid w:val="12CEDDE8"/>
    <w:rsid w:val="132C3CE5"/>
    <w:rsid w:val="14E0C569"/>
    <w:rsid w:val="1673F812"/>
    <w:rsid w:val="17B78E9D"/>
    <w:rsid w:val="1E6E7F52"/>
    <w:rsid w:val="20C16DE4"/>
    <w:rsid w:val="25175088"/>
    <w:rsid w:val="2AF9B4CA"/>
    <w:rsid w:val="2C9543A1"/>
    <w:rsid w:val="2CFF55E9"/>
    <w:rsid w:val="2D449875"/>
    <w:rsid w:val="2E7ABE53"/>
    <w:rsid w:val="301D42A6"/>
    <w:rsid w:val="304D71FA"/>
    <w:rsid w:val="36AE087F"/>
    <w:rsid w:val="3A4FB00A"/>
    <w:rsid w:val="3AAA4E19"/>
    <w:rsid w:val="3B7E4DB4"/>
    <w:rsid w:val="3C701196"/>
    <w:rsid w:val="3CA811EE"/>
    <w:rsid w:val="3DE1EEDB"/>
    <w:rsid w:val="3F1D66FB"/>
    <w:rsid w:val="426E5A91"/>
    <w:rsid w:val="44338B9E"/>
    <w:rsid w:val="4451305F"/>
    <w:rsid w:val="47018673"/>
    <w:rsid w:val="4C46CE17"/>
    <w:rsid w:val="4F7E6ED9"/>
    <w:rsid w:val="5096ABA7"/>
    <w:rsid w:val="578DBA14"/>
    <w:rsid w:val="58798F81"/>
    <w:rsid w:val="5BB13043"/>
    <w:rsid w:val="5CFD7697"/>
    <w:rsid w:val="5F04E104"/>
    <w:rsid w:val="629C09AC"/>
    <w:rsid w:val="64FFE632"/>
    <w:rsid w:val="68086ECB"/>
    <w:rsid w:val="685E18A6"/>
    <w:rsid w:val="699E99FB"/>
    <w:rsid w:val="6B061E42"/>
    <w:rsid w:val="6E3DBF04"/>
    <w:rsid w:val="743175D7"/>
    <w:rsid w:val="75025D6D"/>
    <w:rsid w:val="75420CBE"/>
    <w:rsid w:val="789DCA3E"/>
    <w:rsid w:val="78AD5461"/>
    <w:rsid w:val="7A13DA19"/>
    <w:rsid w:val="7BCFF130"/>
    <w:rsid w:val="7D1E08FE"/>
    <w:rsid w:val="7D458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2D5DA"/>
  <w15:chartTrackingRefBased/>
  <w15:docId w15:val="{6653EAAA-181D-4550-A2C7-E0CCC5A7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705"/>
    <w:pPr>
      <w:spacing w:after="0" w:line="240" w:lineRule="auto"/>
    </w:pPr>
    <w:rPr>
      <w:rFonts w:ascii="Aptos" w:hAnsi="Aptos" w:cs="Apto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4EA4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styleId="Poprawka">
    <w:name w:val="Revision"/>
    <w:hidden/>
    <w:uiPriority w:val="99"/>
    <w:semiHidden/>
    <w:rsid w:val="0022230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2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30A"/>
    <w:pPr>
      <w:spacing w:after="160"/>
    </w:pPr>
    <w:rPr>
      <w:rFonts w:asciiTheme="minorHAnsi" w:hAnsiTheme="minorHAnsi" w:cstheme="minorBidi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30A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7C7430"/>
    <w:rPr>
      <w:color w:val="2B579A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7B5D5D"/>
  </w:style>
  <w:style w:type="table" w:styleId="Tabela-Siatka">
    <w:name w:val="Table Grid"/>
    <w:basedOn w:val="Standardowy"/>
    <w:uiPriority w:val="39"/>
    <w:rsid w:val="007B5D5D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2507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7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85893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85893"/>
  </w:style>
  <w:style w:type="paragraph" w:styleId="Stopka">
    <w:name w:val="footer"/>
    <w:basedOn w:val="Normalny"/>
    <w:link w:val="StopkaZnak"/>
    <w:uiPriority w:val="99"/>
    <w:unhideWhenUsed/>
    <w:rsid w:val="00E85893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85893"/>
  </w:style>
  <w:style w:type="paragraph" w:customStyle="1" w:styleId="Indeks">
    <w:name w:val="Indeks"/>
    <w:basedOn w:val="Normalny"/>
    <w:qFormat/>
    <w:rsid w:val="00AB7476"/>
    <w:pPr>
      <w:suppressLineNumbers/>
      <w:suppressAutoHyphens/>
      <w:spacing w:after="200" w:line="276" w:lineRule="auto"/>
    </w:pPr>
    <w:rPr>
      <w:rFonts w:asciiTheme="minorHAnsi" w:hAnsiTheme="minorHAnsi" w:cs="Aria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0028-4525-4AD8-BD16-7B4EF580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Jankiewicz</dc:creator>
  <cp:keywords/>
  <dc:description/>
  <cp:lastModifiedBy>Agnieszka Kamper | Łukasiewicz – PIT</cp:lastModifiedBy>
  <cp:revision>8</cp:revision>
  <dcterms:created xsi:type="dcterms:W3CDTF">2024-04-08T12:12:00Z</dcterms:created>
  <dcterms:modified xsi:type="dcterms:W3CDTF">2024-04-10T12:01:00Z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eaf5a9ca1aad841c6c12dd26ebdf82680c9984a31830c45c3a03ea821f131158</vt:lpwstr>
  </property>
</Properties>
</file>